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199F" w:rsidRPr="005848B8" w:rsidRDefault="00AE199F" w:rsidP="00AE199F">
      <w:pPr>
        <w:spacing w:before="120" w:after="120"/>
        <w:jc w:val="center"/>
        <w:rPr>
          <w:rFonts w:cs="Arial"/>
          <w:sz w:val="24"/>
        </w:rPr>
      </w:pPr>
      <w:bookmarkStart w:id="0" w:name="_GoBack"/>
      <w:bookmarkEnd w:id="0"/>
      <w:r w:rsidRPr="005848B8">
        <w:rPr>
          <w:rFonts w:cs="Arial"/>
          <w:b/>
          <w:bCs/>
          <w:sz w:val="24"/>
        </w:rPr>
        <w:t xml:space="preserve">STATEMENT OF SERVICE REQUIREMENT FOR THE PROVISION OF </w:t>
      </w:r>
      <w:r w:rsidR="00CC0D88" w:rsidRPr="005848B8">
        <w:rPr>
          <w:rFonts w:cs="Arial"/>
          <w:b/>
          <w:bCs/>
          <w:sz w:val="24"/>
        </w:rPr>
        <w:t>A REVIEW OF THE ONR INTERNAL REPORT ‘ASSESSMENT OF RADIOACTIVELY CONTAMINATED LAND REMEDIATION TECHNIQUES’</w:t>
      </w:r>
    </w:p>
    <w:p w:rsidR="009B5159" w:rsidRDefault="009B5159" w:rsidP="009B5159"/>
    <w:p w:rsidR="00AE199F" w:rsidRPr="00CA2D8A" w:rsidRDefault="00AE199F" w:rsidP="00AE199F">
      <w:pPr>
        <w:pStyle w:val="TSHeadingNumbered1"/>
      </w:pPr>
      <w:r w:rsidRPr="00CA2D8A">
        <w:t>BACKGROUND TO THE PROJECT</w:t>
      </w:r>
    </w:p>
    <w:p w:rsidR="000B0C0B" w:rsidRDefault="000B0C0B" w:rsidP="006643EB">
      <w:pPr>
        <w:pStyle w:val="TSNumberedParagraph11"/>
        <w:jc w:val="both"/>
      </w:pPr>
      <w:r>
        <w:t xml:space="preserve">The </w:t>
      </w:r>
      <w:r w:rsidR="00764734">
        <w:t>Office for Nuclear Regulation (</w:t>
      </w:r>
      <w:r>
        <w:t>ONR</w:t>
      </w:r>
      <w:r w:rsidR="00764734">
        <w:t>)</w:t>
      </w:r>
      <w:r>
        <w:t xml:space="preserve"> has vires for regulating radioactively contaminated land on GB nuclear sites under the Nuclear Installations Act 1965 and the Energy Act 2013. ONR’s inspectors must form their regulatory judgements confidently and effectively using sound scientific and technical information. </w:t>
      </w:r>
    </w:p>
    <w:p w:rsidR="000B0C0B" w:rsidRDefault="000B0C0B" w:rsidP="006643EB">
      <w:pPr>
        <w:pStyle w:val="TSNumberedParagraph11"/>
        <w:jc w:val="both"/>
      </w:pPr>
      <w:r>
        <w:t xml:space="preserve">Land Quality Management (LQM) is defined by ONR to include the prevention of new contamination and the management of existing contamination of both land and groundwater, and extends to remediation (including control and monitoring). </w:t>
      </w:r>
      <w:r w:rsidR="00822F8E">
        <w:t>ONR requires technical knowledge of remediation techniques that may be utilised on nuclear licensed sites to enable effective ALARP decisions to be made. Innovative solutions to land quality remediation offer alternatives to ‘tried and tested’ methods, but the implications from their utilisation on nuclear licensed sites is not fully understood by ONR, which represents a risk when making ALARP judgements relating to LQM at nuclear licensed sites</w:t>
      </w:r>
      <w:r w:rsidR="00F30A57">
        <w:t xml:space="preserve">. </w:t>
      </w:r>
      <w:r w:rsidR="00822F8E">
        <w:t>To mitigate this risk, ONR has instigated Regulatory Research Register project (RRR-052).</w:t>
      </w:r>
    </w:p>
    <w:p w:rsidR="00F30A57" w:rsidRDefault="00B74C53" w:rsidP="006643EB">
      <w:pPr>
        <w:pStyle w:val="TSNumberedParagraph11"/>
        <w:jc w:val="both"/>
      </w:pPr>
      <w:r>
        <w:t>This research project will support future regulatory decisions regarding LQM by providing ONR with a comprehensive review of remediation techniques</w:t>
      </w:r>
      <w:r w:rsidR="00822F8E">
        <w:t xml:space="preserve"> for radioactively contaminated land </w:t>
      </w:r>
      <w:r>
        <w:t xml:space="preserve">currently available and those </w:t>
      </w:r>
      <w:r w:rsidR="00712872">
        <w:t>that could be implemented within the nuclear industry in the future, including information on the effectiveness of these techniques and their applicability.</w:t>
      </w:r>
    </w:p>
    <w:p w:rsidR="009B5159" w:rsidRDefault="00C87572" w:rsidP="006643EB">
      <w:pPr>
        <w:pStyle w:val="TSNumberedParagraph11"/>
        <w:jc w:val="both"/>
      </w:pPr>
      <w:r>
        <w:t>The first stage</w:t>
      </w:r>
      <w:r w:rsidR="00F30A57">
        <w:t xml:space="preserve"> of this project was the </w:t>
      </w:r>
      <w:r w:rsidR="00D73F1C">
        <w:t>production of an internal review of</w:t>
      </w:r>
      <w:r w:rsidR="00F30A57">
        <w:t xml:space="preserve"> the remediation techniques applicable to radioactively contaminated land, both currently implemented and in development, to </w:t>
      </w:r>
      <w:r w:rsidR="00822F8E">
        <w:t>mitigate any potential</w:t>
      </w:r>
      <w:r w:rsidR="00F30A57">
        <w:t xml:space="preserve"> gap in ONR’s understanding and ascertain whether further work and external research in this ar</w:t>
      </w:r>
      <w:r w:rsidR="00D73F1C">
        <w:t xml:space="preserve">ea is required. This review </w:t>
      </w:r>
      <w:r w:rsidR="00822F8E">
        <w:t xml:space="preserve">has been </w:t>
      </w:r>
      <w:r w:rsidR="00D73F1C">
        <w:t xml:space="preserve">completed and the output </w:t>
      </w:r>
      <w:r w:rsidR="00822F8E">
        <w:t xml:space="preserve">will be </w:t>
      </w:r>
      <w:r w:rsidR="00D73F1C">
        <w:t xml:space="preserve">used to inform the next stages in the research project. </w:t>
      </w:r>
      <w:r w:rsidR="00B74C53">
        <w:t xml:space="preserve"> </w:t>
      </w:r>
    </w:p>
    <w:p w:rsidR="00944686" w:rsidRDefault="00944686" w:rsidP="006643EB">
      <w:pPr>
        <w:pStyle w:val="TSNumberedParagraph11"/>
        <w:jc w:val="both"/>
        <w:rPr>
          <w:b/>
        </w:rPr>
      </w:pPr>
      <w:r w:rsidRPr="006643EB">
        <w:rPr>
          <w:b/>
        </w:rPr>
        <w:t xml:space="preserve">ONR requires external review of the internal ONR report on the remediation techniques applicable to radioactively contaminated land to identify gaps in the ONR’s current understanding of the topic. </w:t>
      </w:r>
    </w:p>
    <w:p w:rsidR="00944686" w:rsidRPr="00944686" w:rsidRDefault="00944686" w:rsidP="006643EB">
      <w:pPr>
        <w:pStyle w:val="TSNumberedParagraph11"/>
        <w:jc w:val="both"/>
      </w:pPr>
      <w:r>
        <w:t xml:space="preserve">The project outcome will inform ONR’s understanding of the remediation techniques for radioactively </w:t>
      </w:r>
      <w:r w:rsidR="006643EB">
        <w:t xml:space="preserve">contaminated land </w:t>
      </w:r>
      <w:r>
        <w:t xml:space="preserve">in the nuclear industry, enabling them to carry out their regulatory duties effectively and make ALARP judgements relating to LWM at nuclear licensed sites. </w:t>
      </w:r>
    </w:p>
    <w:p w:rsidR="00AE199F" w:rsidRPr="00CA2D8A" w:rsidRDefault="00AE199F" w:rsidP="00AE199F">
      <w:pPr>
        <w:pStyle w:val="TSHeadingNumbered1"/>
      </w:pPr>
      <w:r w:rsidRPr="00CA2D8A">
        <w:t>SCOPE OF THE SERVICES REQUIRED</w:t>
      </w:r>
    </w:p>
    <w:p w:rsidR="009B0697" w:rsidRDefault="00944686" w:rsidP="009B0697">
      <w:pPr>
        <w:pStyle w:val="TSNumberedParagraph11"/>
        <w:jc w:val="both"/>
      </w:pPr>
      <w:r>
        <w:t xml:space="preserve">The scope of this project is to provide external review of the internal ONR report on radioactively contaminated land remediation techniques. </w:t>
      </w:r>
      <w:r w:rsidR="00C87572">
        <w:t xml:space="preserve">Phase 1 of the </w:t>
      </w:r>
      <w:r w:rsidR="00822F8E">
        <w:t xml:space="preserve">contract </w:t>
      </w:r>
      <w:r w:rsidR="00C87572">
        <w:t>will</w:t>
      </w:r>
      <w:r>
        <w:t xml:space="preserve"> be to conduct this review</w:t>
      </w:r>
      <w:r w:rsidR="009B0697">
        <w:t xml:space="preserve"> against industry guidance and information on remediation techniques currently used and in development and identify any gaps or opportunities for improvements in the ONR report.  </w:t>
      </w:r>
    </w:p>
    <w:p w:rsidR="009B0697" w:rsidRDefault="00C87572" w:rsidP="00E9478E">
      <w:pPr>
        <w:pStyle w:val="TSNumberedParagraph11"/>
        <w:jc w:val="both"/>
      </w:pPr>
      <w:r>
        <w:lastRenderedPageBreak/>
        <w:t xml:space="preserve">The output of </w:t>
      </w:r>
      <w:r w:rsidR="00822F8E">
        <w:t>Phase 1</w:t>
      </w:r>
      <w:r>
        <w:t xml:space="preserve"> will be a report to ONR detailing </w:t>
      </w:r>
      <w:r w:rsidR="00822F8E">
        <w:t xml:space="preserve">any </w:t>
      </w:r>
      <w:r>
        <w:t xml:space="preserve">further work necessary to provide ONR with a comprehensive report on the remediation techniques available for contaminated land in the nuclear industry. </w:t>
      </w:r>
    </w:p>
    <w:p w:rsidR="009B0697" w:rsidRDefault="009B0697" w:rsidP="00E9478E">
      <w:pPr>
        <w:pStyle w:val="TSNumberedParagraph11"/>
        <w:jc w:val="both"/>
      </w:pPr>
      <w:r>
        <w:t xml:space="preserve">The material that ONR has used to compile its own report should be used as a baseline and the provider should </w:t>
      </w:r>
      <w:r w:rsidR="002B7B50">
        <w:t xml:space="preserve">identify the additional information, research and guidance etc. that the ONR report will be reviewed against. </w:t>
      </w:r>
    </w:p>
    <w:p w:rsidR="009B0697" w:rsidRDefault="002B7B50" w:rsidP="00E9478E">
      <w:pPr>
        <w:pStyle w:val="TSNumberedParagraph11"/>
        <w:jc w:val="both"/>
      </w:pPr>
      <w:r>
        <w:t xml:space="preserve">The project is likely to include extracting reference data from many sources, many of which will be copyright protected, subject to intellectual property protection or include material against a registered trademark. All such sources should be replicated with the permission of the originator and only reproduced with such permissions in place. Infringements will be the responsibility of the provider. </w:t>
      </w:r>
    </w:p>
    <w:p w:rsidR="002B7B50" w:rsidRDefault="002B7B50" w:rsidP="00E9478E">
      <w:pPr>
        <w:pStyle w:val="TSNumberedParagraph11"/>
        <w:jc w:val="both"/>
      </w:pPr>
      <w:r>
        <w:t xml:space="preserve">The project provider shall provide updates on the progress of the project to ONR via monthly meetings. These format and structure of these meetings shall be agreed before commencement of the contract. </w:t>
      </w:r>
    </w:p>
    <w:p w:rsidR="002B7B50" w:rsidRDefault="002B7B50" w:rsidP="00E9478E">
      <w:pPr>
        <w:pStyle w:val="TSNumberedParagraph11"/>
        <w:jc w:val="both"/>
      </w:pPr>
      <w:r>
        <w:t>All reports presented to ONR shall not be considered complete until ONR has confirmed it is satisfied. The final report in all likelihood will be sub</w:t>
      </w:r>
      <w:r w:rsidR="000B3564">
        <w:t xml:space="preserve">ject to iterations and as such the provider should include time and cost in addressing supplementary enquiries and follow ups within the tender. </w:t>
      </w:r>
    </w:p>
    <w:p w:rsidR="00C87572" w:rsidRDefault="00C87572" w:rsidP="00E9478E">
      <w:pPr>
        <w:pStyle w:val="TSNumberedParagraph11"/>
        <w:jc w:val="both"/>
      </w:pPr>
      <w:r>
        <w:t>Subject to agreement with ONR, Phase 2</w:t>
      </w:r>
      <w:r w:rsidR="00B56F3A">
        <w:t xml:space="preserve"> of the contract</w:t>
      </w:r>
      <w:r>
        <w:t xml:space="preserve"> will be to deliver </w:t>
      </w:r>
      <w:r w:rsidR="00B56F3A">
        <w:t xml:space="preserve">a report to </w:t>
      </w:r>
      <w:r>
        <w:t xml:space="preserve">the scope identified </w:t>
      </w:r>
      <w:r w:rsidR="00B56F3A">
        <w:t xml:space="preserve">by the </w:t>
      </w:r>
      <w:r>
        <w:t>Phase 1</w:t>
      </w:r>
      <w:r w:rsidR="00B56F3A">
        <w:t xml:space="preserve"> output</w:t>
      </w:r>
      <w:r>
        <w:t xml:space="preserve">. </w:t>
      </w:r>
    </w:p>
    <w:p w:rsidR="00D75DA2" w:rsidRPr="00CA2D8A" w:rsidRDefault="00D75DA2" w:rsidP="00D75DA2">
      <w:pPr>
        <w:pStyle w:val="TSHeadingNumbered1"/>
      </w:pPr>
      <w:r w:rsidRPr="00CA2D8A">
        <w:t>OBJECTIVES</w:t>
      </w:r>
    </w:p>
    <w:p w:rsidR="000B3564" w:rsidRDefault="000B3564" w:rsidP="005848B8">
      <w:pPr>
        <w:pStyle w:val="TSNumberedParagraph11"/>
        <w:jc w:val="both"/>
      </w:pPr>
      <w:r>
        <w:t>ONR will require an initial outline of the strategy taken to complete the work and an update on early findings two weeks after the contract start, followed by a draft report for comment at a date agreed by ONR. The final report would be expected for delivery 3 months after contract start.</w:t>
      </w:r>
    </w:p>
    <w:p w:rsidR="001772CC" w:rsidRDefault="000B3564" w:rsidP="005848B8">
      <w:pPr>
        <w:pStyle w:val="TSNumberedParagraph11"/>
        <w:jc w:val="both"/>
      </w:pPr>
      <w:r>
        <w:t>Appendix A provides a list of the material used and referenced in compiling the ONR internal report on radioactively contaminated land remediation techniques. These are the resources that were available to ONR to complete the report and are not considered to be complete or author</w:t>
      </w:r>
      <w:r w:rsidR="001772CC">
        <w:t>it</w:t>
      </w:r>
      <w:r>
        <w:t xml:space="preserve">ative. The provider </w:t>
      </w:r>
      <w:r w:rsidR="001772CC">
        <w:t xml:space="preserve">should take account of the material used in compiling the ONR report and use any additional resources as they consider appropriate to identify the gaps in ONR’s understanding of the topic. </w:t>
      </w:r>
    </w:p>
    <w:p w:rsidR="001772CC" w:rsidRDefault="001772CC" w:rsidP="005848B8">
      <w:pPr>
        <w:pStyle w:val="TSNumberedParagraph11"/>
        <w:jc w:val="both"/>
      </w:pPr>
      <w:r>
        <w:t xml:space="preserve">ONR will undertake internal validations for each interim report within its Nuclear Liabilities Regulation specialism. As such, the provider shall make arrangements for addressing feedback as part of the peer check process before completion of the final report. </w:t>
      </w:r>
    </w:p>
    <w:p w:rsidR="000B3564" w:rsidRDefault="001772CC" w:rsidP="005848B8">
      <w:pPr>
        <w:pStyle w:val="TSNumberedParagraph11"/>
        <w:jc w:val="both"/>
      </w:pPr>
      <w:r>
        <w:t xml:space="preserve">The contract shall begin with a face-to-face kick off meeting, with monthly progress meetings (via teleconference) as required. Provision of at least two face-to-face meetings should be factored into costs.  </w:t>
      </w:r>
    </w:p>
    <w:p w:rsidR="00022132" w:rsidRDefault="00022132" w:rsidP="005848B8">
      <w:pPr>
        <w:pStyle w:val="TSNumberedParagraph11"/>
        <w:jc w:val="both"/>
      </w:pPr>
      <w:r>
        <w:t>The outcome of this work</w:t>
      </w:r>
      <w:r w:rsidR="00C87572">
        <w:t xml:space="preserve"> for Phase 1 of the </w:t>
      </w:r>
      <w:r w:rsidR="00B56F3A">
        <w:t xml:space="preserve">contract </w:t>
      </w:r>
      <w:r>
        <w:t>will be the review of the internal ONR report assessing radioactively contaminated land remediation techniques and identifica</w:t>
      </w:r>
      <w:r w:rsidR="00A65B6F">
        <w:t xml:space="preserve">tion of any gaps in the content. </w:t>
      </w:r>
      <w:r>
        <w:t xml:space="preserve">The output from this review will be a report to ONR detailing the gaps identified, if any, and </w:t>
      </w:r>
      <w:r w:rsidR="00B56F3A">
        <w:t>a scope of a report to</w:t>
      </w:r>
      <w:r>
        <w:t xml:space="preserve"> address</w:t>
      </w:r>
      <w:r w:rsidR="00B56F3A">
        <w:t xml:space="preserve"> any identified gaps in Phase 2.</w:t>
      </w:r>
      <w:r>
        <w:t xml:space="preserve"> </w:t>
      </w:r>
    </w:p>
    <w:p w:rsidR="00A65B6F" w:rsidRDefault="00A65B6F" w:rsidP="005848B8">
      <w:pPr>
        <w:pStyle w:val="TSNumberedParagraph11"/>
        <w:jc w:val="both"/>
      </w:pPr>
      <w:r>
        <w:t xml:space="preserve">Subject to the identification of gaps in ONR’s internal report, Phase 2 of the project will be to deliver the scope of the report identified in Phase 1. This will be subject to delivery of Phase 1 of the project and arranged through further discussion with ONR. </w:t>
      </w:r>
    </w:p>
    <w:p w:rsidR="00B30F0B" w:rsidRDefault="00B30F0B" w:rsidP="00B30F0B">
      <w:pPr>
        <w:pStyle w:val="TSHeadingNumbered1"/>
        <w:numPr>
          <w:ilvl w:val="0"/>
          <w:numId w:val="0"/>
        </w:numPr>
        <w:ind w:left="720" w:hanging="720"/>
      </w:pPr>
    </w:p>
    <w:p w:rsidR="00D75DA2" w:rsidRDefault="00D75DA2" w:rsidP="00D75DA2">
      <w:pPr>
        <w:pStyle w:val="TSHeadingNumbered1"/>
      </w:pPr>
      <w:r w:rsidRPr="00CA2D8A">
        <w:lastRenderedPageBreak/>
        <w:t>TENDER SUBMISSIONS</w:t>
      </w:r>
      <w:r>
        <w:t xml:space="preserve"> </w:t>
      </w:r>
    </w:p>
    <w:p w:rsidR="002E1B57" w:rsidRDefault="002E1B57" w:rsidP="00E9478E">
      <w:pPr>
        <w:pStyle w:val="TSNumberedParagraph11"/>
        <w:jc w:val="both"/>
      </w:pPr>
      <w:r>
        <w:t>The tenderer should provide ONR with the following information with their submission:</w:t>
      </w:r>
    </w:p>
    <w:p w:rsidR="002E1B57" w:rsidRDefault="002E1B57" w:rsidP="002E1B57">
      <w:pPr>
        <w:pStyle w:val="TSBullet1Square"/>
      </w:pPr>
      <w:r>
        <w:t>a description o</w:t>
      </w:r>
      <w:r w:rsidR="001772CC">
        <w:t>f how they will deliver the project objectives</w:t>
      </w:r>
      <w:r>
        <w:t xml:space="preserve"> and the </w:t>
      </w:r>
      <w:r w:rsidR="001772CC">
        <w:t xml:space="preserve">associated costs and durations; </w:t>
      </w:r>
    </w:p>
    <w:p w:rsidR="001772CC" w:rsidRDefault="001772CC" w:rsidP="002E1B57">
      <w:pPr>
        <w:pStyle w:val="TSBullet1Square"/>
      </w:pPr>
      <w:r>
        <w:t>details of the approach in undertaking this project;</w:t>
      </w:r>
    </w:p>
    <w:p w:rsidR="002E1B57" w:rsidRDefault="002E1B57" w:rsidP="002E1B57">
      <w:pPr>
        <w:pStyle w:val="TSBullet1Square"/>
      </w:pPr>
      <w:r>
        <w:t>the CVs and details of any staff who will be undertaking the work;</w:t>
      </w:r>
    </w:p>
    <w:p w:rsidR="001772CC" w:rsidRDefault="001772CC" w:rsidP="002E1B57">
      <w:pPr>
        <w:pStyle w:val="TSBullet1Square"/>
      </w:pPr>
      <w:r>
        <w:t>the charging rates and invoicing and payment schedule and arrangements throughout the contract, including the means by which progress can be tracked against payments;</w:t>
      </w:r>
    </w:p>
    <w:p w:rsidR="002E1B57" w:rsidRDefault="007A678A" w:rsidP="002E1B57">
      <w:pPr>
        <w:pStyle w:val="TSBullet1Square"/>
      </w:pPr>
      <w:r>
        <w:t>the</w:t>
      </w:r>
      <w:r w:rsidR="002E1B57">
        <w:t xml:space="preserve"> arrangements for managing the delivery of the work </w:t>
      </w:r>
      <w:r>
        <w:t xml:space="preserve">through engagements </w:t>
      </w:r>
      <w:r w:rsidR="002E1B57">
        <w:t>and dealing with disputes (including de</w:t>
      </w:r>
      <w:r>
        <w:t>tails of who will act as the</w:t>
      </w:r>
      <w:r w:rsidR="002E1B57">
        <w:t xml:space="preserve"> liaison</w:t>
      </w:r>
      <w:r>
        <w:t xml:space="preserve"> between the provider and ONR</w:t>
      </w:r>
      <w:r w:rsidR="002E1B57">
        <w:t>);</w:t>
      </w:r>
    </w:p>
    <w:p w:rsidR="002E1B57" w:rsidRDefault="002E1B57" w:rsidP="002E1B57">
      <w:pPr>
        <w:pStyle w:val="TSBullet1Square"/>
      </w:pPr>
      <w:r>
        <w:t>examples of similar</w:t>
      </w:r>
      <w:r w:rsidR="00B56F3A">
        <w:t xml:space="preserve"> or related</w:t>
      </w:r>
      <w:r>
        <w:t xml:space="preserve"> work undertaken for other customers, if any;</w:t>
      </w:r>
    </w:p>
    <w:p w:rsidR="00E8199D" w:rsidRDefault="002E1B57" w:rsidP="007A678A">
      <w:pPr>
        <w:pStyle w:val="TSBullet1Square"/>
        <w:tabs>
          <w:tab w:val="clear" w:pos="-31680"/>
        </w:tabs>
      </w:pPr>
      <w:r>
        <w:t xml:space="preserve">details of the </w:t>
      </w:r>
      <w:r w:rsidR="00B30F0B">
        <w:t>proposed project plan and timetable for delivery of key milestones and deliverables</w:t>
      </w:r>
      <w:r w:rsidR="007A678A">
        <w:t>.</w:t>
      </w:r>
    </w:p>
    <w:p w:rsidR="007A678A" w:rsidRDefault="00D75DA2" w:rsidP="007A678A">
      <w:pPr>
        <w:pStyle w:val="TSHeadingNumbered1"/>
      </w:pPr>
      <w:r w:rsidRPr="00CA2D8A">
        <w:rPr>
          <w:rFonts w:cs="Arial"/>
          <w:bCs/>
          <w:sz w:val="20"/>
          <w:szCs w:val="20"/>
        </w:rPr>
        <w:t>CONSTRAINTS</w:t>
      </w:r>
      <w:r>
        <w:t xml:space="preserve"> </w:t>
      </w:r>
    </w:p>
    <w:p w:rsidR="002E1B57" w:rsidRDefault="002E1B57" w:rsidP="00E9478E">
      <w:pPr>
        <w:pStyle w:val="TSNumberedParagraph11"/>
        <w:jc w:val="both"/>
      </w:pPr>
      <w:r>
        <w:t>The following constraints have been identified for this project:</w:t>
      </w:r>
    </w:p>
    <w:p w:rsidR="00E8199D" w:rsidRDefault="00E8199D" w:rsidP="00E8199D">
      <w:pPr>
        <w:pStyle w:val="TSBullet1Square"/>
      </w:pPr>
      <w:r>
        <w:t>The services need to be delivered by individuals with specific knowledge or experience in the area of radioactively contaminated land remediation.</w:t>
      </w:r>
    </w:p>
    <w:p w:rsidR="00E8199D" w:rsidRDefault="00E8199D" w:rsidP="002E1B57">
      <w:pPr>
        <w:pStyle w:val="TSBullet1Square"/>
      </w:pPr>
      <w:r>
        <w:t>The timing of the delivery of</w:t>
      </w:r>
      <w:r w:rsidR="007A678A">
        <w:t xml:space="preserve"> Phase 1 of</w:t>
      </w:r>
      <w:r>
        <w:t xml:space="preserve"> this project will be a period of 3 months</w:t>
      </w:r>
      <w:r w:rsidR="00EC6FE3">
        <w:t xml:space="preserve"> from the date of contract placement. </w:t>
      </w:r>
    </w:p>
    <w:p w:rsidR="002E1B57" w:rsidRDefault="00E8199D" w:rsidP="002E1B57">
      <w:pPr>
        <w:pStyle w:val="TSBullet1Square"/>
      </w:pPr>
      <w:r>
        <w:t xml:space="preserve">The scope of this project is limited to that of ONR’s regulatory vires, i.e. the prevention, management and remediation of radioactively contaminated land only.  </w:t>
      </w:r>
    </w:p>
    <w:p w:rsidR="00D75DA2" w:rsidRPr="00976B77" w:rsidRDefault="00D75DA2" w:rsidP="00D75DA2">
      <w:pPr>
        <w:pStyle w:val="TSHeadingNumbered1"/>
      </w:pPr>
      <w:r w:rsidRPr="00976B77">
        <w:t>CONTRACT MANAGEMENT</w:t>
      </w:r>
    </w:p>
    <w:p w:rsidR="00D75DA2" w:rsidRDefault="00D75DA2" w:rsidP="00E9478E">
      <w:pPr>
        <w:pStyle w:val="TSNumberedParagraph11"/>
        <w:jc w:val="both"/>
      </w:pPr>
      <w:r w:rsidRPr="00892734">
        <w:t>ONR will require to be kept updated about progress and delivery of the required work via monthly meetings, to include a contract start-up meeting at ONR’s offices at Bootle. Subsequent progress meeting should be arranged with the ONR Project Office and can be held at ONR’s office in Bootle, or the contractor’s premises.</w:t>
      </w:r>
    </w:p>
    <w:p w:rsidR="00D75DA2" w:rsidRDefault="00D75DA2" w:rsidP="00D75DA2">
      <w:pPr>
        <w:pStyle w:val="TSNumberedParagraph11"/>
        <w:numPr>
          <w:ilvl w:val="0"/>
          <w:numId w:val="0"/>
        </w:numPr>
        <w:ind w:left="720"/>
      </w:pPr>
    </w:p>
    <w:p w:rsidR="007A678A" w:rsidRPr="007A678A" w:rsidRDefault="007A678A" w:rsidP="006643EB">
      <w:pPr>
        <w:pStyle w:val="Heading2"/>
      </w:pPr>
      <w:r>
        <w:br w:type="page"/>
      </w:r>
      <w:r>
        <w:lastRenderedPageBreak/>
        <w:t xml:space="preserve">Appendix </w:t>
      </w:r>
      <w:proofErr w:type="gramStart"/>
      <w:r>
        <w:t>A</w:t>
      </w:r>
      <w:proofErr w:type="gramEnd"/>
      <w:r>
        <w:t xml:space="preserve"> – Material </w:t>
      </w:r>
      <w:r w:rsidR="006643EB">
        <w:t>referenced in the internal ONR report: Assessment of Radioactively Contaminated Land Remediation Techniques</w:t>
      </w:r>
    </w:p>
    <w:p w:rsidR="007A678A" w:rsidRDefault="007A678A" w:rsidP="007A678A"/>
    <w:p w:rsidR="007A678A" w:rsidRPr="007A678A" w:rsidRDefault="007A678A" w:rsidP="007A678A">
      <w:pPr>
        <w:spacing w:before="120" w:after="120"/>
        <w:rPr>
          <w:noProof/>
        </w:rPr>
      </w:pPr>
      <w:r w:rsidRPr="007A678A">
        <w:rPr>
          <w:noProof/>
        </w:rPr>
        <w:t xml:space="preserve">Arctic Foundations Inc., 2000. </w:t>
      </w:r>
      <w:r w:rsidRPr="007A678A">
        <w:rPr>
          <w:i/>
          <w:iCs/>
          <w:noProof/>
        </w:rPr>
        <w:t xml:space="preserve">Cryogenic Barrier Demonstration Project, Final Report, </w:t>
      </w:r>
      <w:r w:rsidRPr="007A678A">
        <w:rPr>
          <w:noProof/>
        </w:rPr>
        <w:t>Office of Scientific and Technical Information ID No. 760626: U.S. D.O.E..</w:t>
      </w:r>
    </w:p>
    <w:p w:rsidR="007A678A" w:rsidRPr="007A678A" w:rsidRDefault="007A678A" w:rsidP="007A678A">
      <w:pPr>
        <w:spacing w:before="120" w:after="120"/>
        <w:rPr>
          <w:noProof/>
        </w:rPr>
      </w:pPr>
      <w:r w:rsidRPr="007A678A">
        <w:rPr>
          <w:noProof/>
        </w:rPr>
        <w:t>Bonneson, P., Sachleben, R. &amp; Moyer , B., 1999. Solvent Extraction of Radionuclides from Aqueous Tank Waste, s.l.: Oakridge National Laboratory, U.S. Department of Energy.</w:t>
      </w:r>
    </w:p>
    <w:p w:rsidR="007A678A" w:rsidRPr="007A678A" w:rsidRDefault="007A678A" w:rsidP="007A678A">
      <w:pPr>
        <w:spacing w:before="120" w:after="120"/>
        <w:rPr>
          <w:noProof/>
        </w:rPr>
      </w:pPr>
      <w:r w:rsidRPr="007A678A">
        <w:rPr>
          <w:noProof/>
        </w:rPr>
        <w:t>CL:AIRE, 2004. Technical Bulletin: Stabilisation/Solidification Treatment and Remediation: Part 1: Summary of the State of Practice Reports I-IV, s.l.: Contaminated Land: Applications in Real Environments.</w:t>
      </w:r>
    </w:p>
    <w:p w:rsidR="007A678A" w:rsidRPr="007A678A" w:rsidRDefault="007A678A" w:rsidP="007A678A">
      <w:pPr>
        <w:spacing w:before="120" w:after="120"/>
        <w:rPr>
          <w:noProof/>
        </w:rPr>
      </w:pPr>
      <w:r w:rsidRPr="007A678A">
        <w:rPr>
          <w:noProof/>
        </w:rPr>
        <w:t>CL:AIRE, 2007. Technical Bulletin: Understanding Soil Washing, s.l.: Contaminated Land: Applications in Real Environments.</w:t>
      </w:r>
    </w:p>
    <w:p w:rsidR="007A678A" w:rsidRPr="007A678A" w:rsidRDefault="007A678A" w:rsidP="007A678A">
      <w:pPr>
        <w:spacing w:before="120" w:after="120"/>
        <w:rPr>
          <w:noProof/>
        </w:rPr>
      </w:pPr>
      <w:r w:rsidRPr="007A678A">
        <w:rPr>
          <w:noProof/>
        </w:rPr>
        <w:t>Commonwealth of Kentucky, 2016. Division of Waste Management: Maxey Flats Disposal Site, s.l.: DEP Division of Waste Management, Superfund Division.</w:t>
      </w:r>
    </w:p>
    <w:p w:rsidR="007A678A" w:rsidRPr="007A678A" w:rsidRDefault="007A678A" w:rsidP="007A678A">
      <w:pPr>
        <w:spacing w:before="120" w:after="120"/>
        <w:rPr>
          <w:noProof/>
        </w:rPr>
      </w:pPr>
      <w:r w:rsidRPr="007A678A">
        <w:rPr>
          <w:noProof/>
        </w:rPr>
        <w:t xml:space="preserve">De Filippis, L. F., 2015. Role of Phytoremediation in Radioactive Waste Treatment. In: K. Hakeem, M. Sabir, M. Ozturk &amp; A. Murmet, eds. </w:t>
      </w:r>
      <w:r w:rsidRPr="007A678A">
        <w:rPr>
          <w:i/>
          <w:iCs/>
          <w:noProof/>
        </w:rPr>
        <w:t xml:space="preserve">Soil Remediation and Plants: Prospects and Challenges. </w:t>
      </w:r>
      <w:r w:rsidRPr="007A678A">
        <w:rPr>
          <w:noProof/>
        </w:rPr>
        <w:t>s.l.:Elsevier, pp. 207-254.</w:t>
      </w:r>
    </w:p>
    <w:p w:rsidR="007A678A" w:rsidRPr="007A678A" w:rsidRDefault="007A678A" w:rsidP="007A678A">
      <w:pPr>
        <w:spacing w:before="120" w:after="120"/>
        <w:rPr>
          <w:noProof/>
        </w:rPr>
      </w:pPr>
      <w:r w:rsidRPr="007A678A">
        <w:rPr>
          <w:noProof/>
        </w:rPr>
        <w:t>Golder Associates (UK) Ltd, 1999. Natural Attenuation of Petroleum Hydrocarbons and Chlorinated Solvents in Groundwater. R&amp;D Technical Report P305, Bristol: Environment Agency.</w:t>
      </w:r>
    </w:p>
    <w:p w:rsidR="007A678A" w:rsidRPr="007A678A" w:rsidRDefault="007A678A" w:rsidP="007A678A">
      <w:pPr>
        <w:spacing w:after="120"/>
        <w:jc w:val="both"/>
        <w:rPr>
          <w:noProof/>
        </w:rPr>
      </w:pPr>
      <w:r w:rsidRPr="007A678A">
        <w:rPr>
          <w:noProof/>
        </w:rPr>
        <w:t xml:space="preserve">IAEA, 1993. </w:t>
      </w:r>
      <w:r w:rsidRPr="007A678A">
        <w:rPr>
          <w:i/>
          <w:iCs/>
          <w:noProof/>
        </w:rPr>
        <w:t xml:space="preserve">Uranium Extraction Technology. Technical Report Series No. 359, </w:t>
      </w:r>
      <w:r w:rsidRPr="007A678A">
        <w:rPr>
          <w:noProof/>
        </w:rPr>
        <w:t>s.l.: s.n.</w:t>
      </w:r>
    </w:p>
    <w:p w:rsidR="007A678A" w:rsidRPr="007A678A" w:rsidRDefault="007A678A" w:rsidP="007A678A">
      <w:pPr>
        <w:spacing w:after="120"/>
        <w:jc w:val="both"/>
        <w:rPr>
          <w:noProof/>
        </w:rPr>
      </w:pPr>
      <w:r w:rsidRPr="007A678A">
        <w:rPr>
          <w:noProof/>
        </w:rPr>
        <w:t xml:space="preserve">IAEA, 2002. </w:t>
      </w:r>
      <w:r w:rsidRPr="007A678A">
        <w:rPr>
          <w:i/>
          <w:iCs/>
          <w:noProof/>
        </w:rPr>
        <w:t xml:space="preserve">Application of Ion Exchange Processes for the Treatment of Radioactive Waste and Management of Spent Ion Exchangers. Technical Reports Series No. 408, </w:t>
      </w:r>
      <w:r w:rsidRPr="007A678A">
        <w:rPr>
          <w:noProof/>
        </w:rPr>
        <w:t>s.l.: International Atomic Energy Agency, Vienna.</w:t>
      </w:r>
    </w:p>
    <w:p w:rsidR="007A678A" w:rsidRPr="007A678A" w:rsidRDefault="007A678A" w:rsidP="007A678A">
      <w:pPr>
        <w:spacing w:before="120" w:after="120"/>
        <w:rPr>
          <w:noProof/>
        </w:rPr>
      </w:pPr>
      <w:r w:rsidRPr="007A678A">
        <w:rPr>
          <w:noProof/>
        </w:rPr>
        <w:t xml:space="preserve">IAEA , 1997. </w:t>
      </w:r>
      <w:r w:rsidRPr="007A678A">
        <w:rPr>
          <w:iCs/>
          <w:noProof/>
        </w:rPr>
        <w:t xml:space="preserve">Technologies for In-Situ Immobilisation and Isolation of Radioactive Wastes at Disposal and Contaminated Sites, </w:t>
      </w:r>
      <w:r w:rsidRPr="007A678A">
        <w:rPr>
          <w:noProof/>
        </w:rPr>
        <w:t>s.l.: IEAE-TECDOC-972.</w:t>
      </w:r>
    </w:p>
    <w:p w:rsidR="007A678A" w:rsidRPr="007A678A" w:rsidRDefault="007A678A" w:rsidP="007A678A">
      <w:pPr>
        <w:spacing w:before="120" w:after="120"/>
        <w:rPr>
          <w:noProof/>
        </w:rPr>
      </w:pPr>
      <w:r w:rsidRPr="007A678A">
        <w:rPr>
          <w:noProof/>
        </w:rPr>
        <w:t xml:space="preserve">Kamath , R., Rentz, J. A., Schnoor, J. L. &amp; Alvarez, P. J. J., 2004. Phytoremediation of hydrocarbon-contaminated soils: principles and applications. In: R. Vazquez-Duhalt &amp; R. Quintero-Ramirez, eds. </w:t>
      </w:r>
      <w:r w:rsidRPr="007A678A">
        <w:rPr>
          <w:i/>
          <w:iCs/>
          <w:noProof/>
        </w:rPr>
        <w:t xml:space="preserve">Studies in Surface Science and Catalysis. </w:t>
      </w:r>
      <w:r w:rsidRPr="007A678A">
        <w:rPr>
          <w:noProof/>
        </w:rPr>
        <w:t>s.l.:Elsevier B. V., pp. 447-478.</w:t>
      </w:r>
    </w:p>
    <w:p w:rsidR="007A678A" w:rsidRPr="007A678A" w:rsidRDefault="007A678A" w:rsidP="007A678A">
      <w:pPr>
        <w:spacing w:before="120" w:after="120"/>
        <w:rPr>
          <w:noProof/>
        </w:rPr>
      </w:pPr>
      <w:r w:rsidRPr="007A678A">
        <w:rPr>
          <w:noProof/>
        </w:rPr>
        <w:t xml:space="preserve">Keto, P., 2004. </w:t>
      </w:r>
      <w:r w:rsidRPr="007A678A">
        <w:rPr>
          <w:iCs/>
          <w:noProof/>
        </w:rPr>
        <w:t xml:space="preserve">Natural Clays as Backfilling Materials in Different Backfilling Concepts, </w:t>
      </w:r>
      <w:r w:rsidRPr="007A678A">
        <w:rPr>
          <w:noProof/>
        </w:rPr>
        <w:t>s.l.: Posiva Oy.</w:t>
      </w:r>
    </w:p>
    <w:p w:rsidR="007A678A" w:rsidRPr="007A678A" w:rsidRDefault="007A678A" w:rsidP="007A678A">
      <w:pPr>
        <w:spacing w:before="120" w:after="120"/>
        <w:rPr>
          <w:noProof/>
        </w:rPr>
      </w:pPr>
      <w:r w:rsidRPr="007A678A">
        <w:rPr>
          <w:noProof/>
        </w:rPr>
        <w:t>STUK, 2000. Treatment Techniques for Removing Natural Radionuclides from Drinking Water: Final Report of the TENAWA Project, s.l.: M. Annanmaki, T. Turtiainen (Eds.).</w:t>
      </w:r>
    </w:p>
    <w:p w:rsidR="007A678A" w:rsidRPr="007A678A" w:rsidRDefault="007A678A" w:rsidP="007A678A">
      <w:pPr>
        <w:spacing w:before="120" w:after="120"/>
        <w:rPr>
          <w:noProof/>
          <w:u w:val="single"/>
        </w:rPr>
      </w:pPr>
      <w:r w:rsidRPr="007A678A">
        <w:rPr>
          <w:noProof/>
        </w:rPr>
        <w:t xml:space="preserve">TEPCO, 2017. </w:t>
      </w:r>
      <w:r w:rsidRPr="007A678A">
        <w:rPr>
          <w:i/>
          <w:iCs/>
          <w:noProof/>
        </w:rPr>
        <w:t xml:space="preserve">Fukushima Daiichi NPS Prompt Report (Feb 10, 2017): Overview of the Nuclear Safety Reform Plan Progress Report. </w:t>
      </w:r>
      <w:r w:rsidRPr="007A678A">
        <w:rPr>
          <w:noProof/>
        </w:rPr>
        <w:t xml:space="preserve">[Online] </w:t>
      </w:r>
      <w:r w:rsidRPr="007A678A">
        <w:rPr>
          <w:noProof/>
        </w:rPr>
        <w:br/>
        <w:t xml:space="preserve">Available at: </w:t>
      </w:r>
      <w:hyperlink r:id="rId10" w:history="1">
        <w:r w:rsidRPr="007A678A">
          <w:rPr>
            <w:noProof/>
            <w:color w:val="0000FF"/>
            <w:u w:val="single"/>
          </w:rPr>
          <w:t>http://www.tepco.co.jp/en/press/corp-com/release/betu17_e/images/170210e0101.pdf</w:t>
        </w:r>
      </w:hyperlink>
      <w:r w:rsidRPr="007A678A">
        <w:rPr>
          <w:noProof/>
          <w:u w:val="single"/>
        </w:rPr>
        <w:t xml:space="preserve"> </w:t>
      </w:r>
    </w:p>
    <w:p w:rsidR="007A678A" w:rsidRPr="007A678A" w:rsidRDefault="007A678A" w:rsidP="007A678A">
      <w:pPr>
        <w:spacing w:after="120"/>
        <w:rPr>
          <w:noProof/>
        </w:rPr>
      </w:pPr>
      <w:r w:rsidRPr="007A678A">
        <w:rPr>
          <w:noProof/>
        </w:rPr>
        <w:t xml:space="preserve">Tergeo Consulting, 2017. </w:t>
      </w:r>
      <w:r w:rsidRPr="007A678A">
        <w:rPr>
          <w:i/>
          <w:iCs/>
          <w:noProof/>
        </w:rPr>
        <w:t xml:space="preserve">Chlorinated Solvents - Enhanced Monitored Natural Attenuation: Remediation Case Study. </w:t>
      </w:r>
      <w:r w:rsidRPr="007A678A">
        <w:rPr>
          <w:noProof/>
        </w:rPr>
        <w:t xml:space="preserve">[Online] </w:t>
      </w:r>
      <w:r w:rsidRPr="007A678A">
        <w:rPr>
          <w:noProof/>
        </w:rPr>
        <w:br/>
        <w:t xml:space="preserve">Available at: </w:t>
      </w:r>
      <w:hyperlink r:id="rId11" w:history="1">
        <w:r w:rsidRPr="007A678A">
          <w:rPr>
            <w:noProof/>
            <w:color w:val="0000FF"/>
            <w:u w:val="single"/>
          </w:rPr>
          <w:t>http://tergeoconsulting.co.uk/project/chlorinated-solvents-enhanced-monitored-natural-attenuation-remediation-case-study/</w:t>
        </w:r>
      </w:hyperlink>
      <w:r w:rsidRPr="007A678A">
        <w:rPr>
          <w:noProof/>
        </w:rPr>
        <w:t xml:space="preserve"> [Accessed 20 March 2018].</w:t>
      </w:r>
    </w:p>
    <w:p w:rsidR="007A678A" w:rsidRPr="007A678A" w:rsidRDefault="007A678A" w:rsidP="007A678A">
      <w:pPr>
        <w:spacing w:before="120" w:after="120"/>
        <w:rPr>
          <w:noProof/>
        </w:rPr>
      </w:pPr>
      <w:r w:rsidRPr="007A678A">
        <w:rPr>
          <w:noProof/>
        </w:rPr>
        <w:t xml:space="preserve">Tromp, K., Lima, A. T., Barendragt, A. &amp; Verhoeven, J. T., 2012. Retention of heavy metals and poly-aromatic hydrocarbons from road water in a constructed wetland and the effect of de-icing.. </w:t>
      </w:r>
      <w:r w:rsidRPr="007A678A">
        <w:rPr>
          <w:i/>
          <w:iCs/>
          <w:noProof/>
        </w:rPr>
        <w:t xml:space="preserve">Journal of Hazardous Materials, </w:t>
      </w:r>
      <w:r w:rsidRPr="007A678A">
        <w:rPr>
          <w:noProof/>
        </w:rPr>
        <w:t>Volume 203-204, pp. 290-298.</w:t>
      </w:r>
    </w:p>
    <w:p w:rsidR="007A678A" w:rsidRPr="007A678A" w:rsidRDefault="007A678A" w:rsidP="007A678A">
      <w:pPr>
        <w:spacing w:before="120" w:after="120"/>
        <w:rPr>
          <w:noProof/>
        </w:rPr>
      </w:pPr>
      <w:r w:rsidRPr="007A678A">
        <w:rPr>
          <w:noProof/>
        </w:rPr>
        <w:t xml:space="preserve">USEPA, 1993. </w:t>
      </w:r>
      <w:r w:rsidRPr="007A678A">
        <w:rPr>
          <w:iCs/>
          <w:noProof/>
        </w:rPr>
        <w:t xml:space="preserve">Approaches for the Remediation of Federal Facility Sites Contaminated with Explosive or Radioactive Wastes, </w:t>
      </w:r>
      <w:r w:rsidRPr="007A678A">
        <w:rPr>
          <w:noProof/>
        </w:rPr>
        <w:t>EPA/625/R-93/013: U.S. Environmental Protection Agency.</w:t>
      </w:r>
    </w:p>
    <w:p w:rsidR="007A678A" w:rsidRPr="007A678A" w:rsidRDefault="007A678A" w:rsidP="007A678A">
      <w:pPr>
        <w:spacing w:before="120" w:after="120"/>
        <w:rPr>
          <w:noProof/>
        </w:rPr>
      </w:pPr>
      <w:r w:rsidRPr="007A678A">
        <w:rPr>
          <w:noProof/>
        </w:rPr>
        <w:lastRenderedPageBreak/>
        <w:t>USEPA, 2000. Soil Screening Guidance for Radionuclides: Technical Background Document, Washington, DC: Office of Radiation and Indoor Air, Office of Solid Waste and Emergency Response.</w:t>
      </w:r>
    </w:p>
    <w:p w:rsidR="007A678A" w:rsidRPr="007A678A" w:rsidRDefault="007A678A" w:rsidP="007A678A">
      <w:pPr>
        <w:spacing w:before="120" w:after="120"/>
        <w:rPr>
          <w:noProof/>
        </w:rPr>
      </w:pPr>
      <w:r w:rsidRPr="007A678A">
        <w:rPr>
          <w:noProof/>
        </w:rPr>
        <w:t>USEPA, 2001. ThermoRetec's Segmented Gate System, Brookhaven National Laboratory, Area of Concern 16, Suffolk County, New York, s.l.: Accelerated Site Technology Deployment, U.S. Department of Energy.</w:t>
      </w:r>
    </w:p>
    <w:p w:rsidR="007A678A" w:rsidRPr="007A678A" w:rsidRDefault="007A678A" w:rsidP="007A678A">
      <w:pPr>
        <w:spacing w:before="120" w:after="120"/>
        <w:rPr>
          <w:noProof/>
        </w:rPr>
      </w:pPr>
      <w:r w:rsidRPr="007A678A">
        <w:rPr>
          <w:noProof/>
        </w:rPr>
        <w:t xml:space="preserve">USEPA, 2004. </w:t>
      </w:r>
      <w:r w:rsidRPr="007A678A">
        <w:rPr>
          <w:i/>
          <w:iCs/>
          <w:noProof/>
        </w:rPr>
        <w:t xml:space="preserve">Radionuclide Biological Remediation Resource Guide, </w:t>
      </w:r>
      <w:r w:rsidRPr="007A678A">
        <w:rPr>
          <w:noProof/>
        </w:rPr>
        <w:t>Chicago, Illinois: U.S. Environmental Protection Agency, Region 5, Superfund Division.</w:t>
      </w:r>
    </w:p>
    <w:p w:rsidR="007A678A" w:rsidRPr="007A678A" w:rsidRDefault="007A678A" w:rsidP="007A678A">
      <w:pPr>
        <w:spacing w:before="120" w:after="120"/>
        <w:rPr>
          <w:noProof/>
        </w:rPr>
      </w:pPr>
      <w:r w:rsidRPr="007A678A">
        <w:rPr>
          <w:noProof/>
        </w:rPr>
        <w:t>USEPA, 2005. Permeable Reactive Barriers for Inorganic and Radionuclide Contamination, Washington DC: Office of Solid Waste and Emergency Response, Office of Superfund Remediation and Technology Innovation.</w:t>
      </w:r>
    </w:p>
    <w:p w:rsidR="007A678A" w:rsidRPr="007A678A" w:rsidRDefault="007A678A" w:rsidP="007A678A">
      <w:pPr>
        <w:spacing w:before="120" w:after="120"/>
        <w:rPr>
          <w:noProof/>
        </w:rPr>
      </w:pPr>
      <w:r w:rsidRPr="007A678A">
        <w:rPr>
          <w:noProof/>
        </w:rPr>
        <w:t xml:space="preserve">USEPA, 2007i. </w:t>
      </w:r>
      <w:r w:rsidRPr="007A678A">
        <w:rPr>
          <w:i/>
          <w:iCs/>
          <w:noProof/>
        </w:rPr>
        <w:t xml:space="preserve">Technology Reference Guide for Radiactively Contaminated Media, </w:t>
      </w:r>
      <w:r w:rsidRPr="007A678A">
        <w:rPr>
          <w:noProof/>
        </w:rPr>
        <w:t>EPA 402-R-07-004: Office for Radiation and Indoor Air Radiation Protection Program.</w:t>
      </w:r>
    </w:p>
    <w:p w:rsidR="007A678A" w:rsidRPr="007A678A" w:rsidRDefault="007A678A" w:rsidP="007A678A">
      <w:pPr>
        <w:spacing w:after="120"/>
        <w:rPr>
          <w:noProof/>
        </w:rPr>
      </w:pPr>
      <w:r w:rsidRPr="007A678A">
        <w:rPr>
          <w:noProof/>
        </w:rPr>
        <w:t xml:space="preserve">USEPA, 2007ii. </w:t>
      </w:r>
      <w:r w:rsidRPr="007A678A">
        <w:rPr>
          <w:i/>
          <w:iCs/>
          <w:noProof/>
        </w:rPr>
        <w:t xml:space="preserve">Monitored Natural Attenuation of Inorganic Contaminants in Groundwater , </w:t>
      </w:r>
      <w:r w:rsidRPr="007A678A">
        <w:rPr>
          <w:noProof/>
        </w:rPr>
        <w:t>s.l.: National Risk Management Research Laboratory, Office of Research and Development.</w:t>
      </w:r>
    </w:p>
    <w:p w:rsidR="007A678A" w:rsidRPr="007A678A" w:rsidRDefault="007A678A" w:rsidP="007A678A">
      <w:pPr>
        <w:spacing w:after="120"/>
      </w:pPr>
      <w:proofErr w:type="gramStart"/>
      <w:r w:rsidRPr="007A678A">
        <w:t>USEPA, 2009.</w:t>
      </w:r>
      <w:proofErr w:type="gramEnd"/>
      <w:r w:rsidRPr="007A678A">
        <w:t xml:space="preserve"> </w:t>
      </w:r>
      <w:proofErr w:type="gramStart"/>
      <w:r w:rsidRPr="007A678A">
        <w:t>Monitored Natural Attenuation Case Study Evaluations.</w:t>
      </w:r>
      <w:proofErr w:type="gramEnd"/>
      <w:r w:rsidRPr="007A678A">
        <w:t xml:space="preserve"> </w:t>
      </w:r>
      <w:proofErr w:type="gramStart"/>
      <w:r w:rsidRPr="007A678A">
        <w:t>Presented at Interstate Technology and Regulatory Council Meeting.</w:t>
      </w:r>
      <w:proofErr w:type="gramEnd"/>
      <w:r w:rsidRPr="007A678A">
        <w:t xml:space="preserve"> [Online] Available at: </w:t>
      </w:r>
      <w:hyperlink r:id="rId12" w:history="1">
        <w:r w:rsidRPr="007A678A">
          <w:rPr>
            <w:color w:val="0000FF"/>
            <w:u w:val="single"/>
          </w:rPr>
          <w:t>https://cfpub.epa.gov/si/si_public_record_Report.cfm?dirEntryId=209509&amp;CFID=44198494&amp;CFTOKEN=10262422</w:t>
        </w:r>
      </w:hyperlink>
      <w:r w:rsidRPr="007A678A">
        <w:t xml:space="preserve"> [Accessed 20 March 2018].</w:t>
      </w:r>
    </w:p>
    <w:p w:rsidR="007A678A" w:rsidRPr="007A678A" w:rsidRDefault="007A678A" w:rsidP="007A678A">
      <w:pPr>
        <w:spacing w:before="120" w:after="120"/>
        <w:rPr>
          <w:noProof/>
        </w:rPr>
      </w:pPr>
      <w:r w:rsidRPr="007A678A">
        <w:rPr>
          <w:noProof/>
        </w:rPr>
        <w:t xml:space="preserve">USEPA, 2013. </w:t>
      </w:r>
      <w:r w:rsidRPr="007A678A">
        <w:rPr>
          <w:i/>
          <w:iCs/>
          <w:noProof/>
        </w:rPr>
        <w:t xml:space="preserve">Introduction to In Situ Bioremediation of Groundwater, </w:t>
      </w:r>
      <w:r w:rsidRPr="007A678A">
        <w:rPr>
          <w:noProof/>
        </w:rPr>
        <w:t>EPA 542-R-13-018: Office of Solid Waste and Emergency Response.</w:t>
      </w:r>
    </w:p>
    <w:p w:rsidR="007A678A" w:rsidRPr="007A678A" w:rsidRDefault="007A678A" w:rsidP="007A678A">
      <w:pPr>
        <w:spacing w:before="120" w:after="120"/>
        <w:rPr>
          <w:noProof/>
        </w:rPr>
      </w:pPr>
      <w:r w:rsidRPr="007A678A">
        <w:rPr>
          <w:noProof/>
        </w:rPr>
        <w:t xml:space="preserve">USEPA, 2015. Radionuclides in Drinking Water: Ion Exchange. [Online] Available at: </w:t>
      </w:r>
      <w:hyperlink r:id="rId13" w:history="1">
        <w:r w:rsidRPr="007A678A">
          <w:rPr>
            <w:noProof/>
            <w:color w:val="0000FF"/>
            <w:u w:val="single"/>
          </w:rPr>
          <w:t>https://cfpub.epa.gov/safewater/radionuclides/radionuclides.cfm?action=Rad_Ion%20Exchange</w:t>
        </w:r>
      </w:hyperlink>
      <w:r w:rsidRPr="007A678A">
        <w:rPr>
          <w:noProof/>
        </w:rPr>
        <w:t xml:space="preserve"> [Accessed 23 March 2018].</w:t>
      </w:r>
    </w:p>
    <w:p w:rsidR="007A678A" w:rsidRPr="007A678A" w:rsidRDefault="007A678A" w:rsidP="007A678A">
      <w:pPr>
        <w:spacing w:after="120"/>
        <w:rPr>
          <w:noProof/>
        </w:rPr>
      </w:pPr>
      <w:r w:rsidRPr="007A678A">
        <w:rPr>
          <w:noProof/>
        </w:rPr>
        <w:t xml:space="preserve">Veolia Nuclear Solutions, n.d. </w:t>
      </w:r>
      <w:r w:rsidRPr="007A678A">
        <w:rPr>
          <w:i/>
          <w:iCs/>
          <w:noProof/>
        </w:rPr>
        <w:t xml:space="preserve">www.nuclearsolutions.veolia.com. </w:t>
      </w:r>
      <w:r w:rsidRPr="007A678A">
        <w:rPr>
          <w:noProof/>
        </w:rPr>
        <w:t xml:space="preserve">[Online] </w:t>
      </w:r>
      <w:r w:rsidRPr="007A678A">
        <w:rPr>
          <w:noProof/>
        </w:rPr>
        <w:br/>
        <w:t xml:space="preserve">Available at: </w:t>
      </w:r>
      <w:hyperlink r:id="rId14" w:history="1">
        <w:r w:rsidRPr="007A678A">
          <w:rPr>
            <w:noProof/>
            <w:color w:val="0000FF"/>
            <w:u w:val="single"/>
          </w:rPr>
          <w:t>http://www.nuclearsolutions.veolia.com/en/our-expertise/case-studies/sellafield-uk</w:t>
        </w:r>
      </w:hyperlink>
      <w:r w:rsidRPr="007A678A">
        <w:rPr>
          <w:noProof/>
        </w:rPr>
        <w:t xml:space="preserve"> [Accessed 7 March 2018].</w:t>
      </w:r>
    </w:p>
    <w:p w:rsidR="007A678A" w:rsidRPr="007A678A" w:rsidRDefault="007A678A" w:rsidP="007A678A">
      <w:pPr>
        <w:spacing w:before="120" w:after="120"/>
        <w:rPr>
          <w:noProof/>
        </w:rPr>
      </w:pPr>
      <w:r w:rsidRPr="007A678A">
        <w:rPr>
          <w:noProof/>
        </w:rPr>
        <w:t xml:space="preserve">Wallace, A. &amp; Romney, E. M., 1972. </w:t>
      </w:r>
      <w:r w:rsidRPr="007A678A">
        <w:rPr>
          <w:i/>
          <w:iCs/>
          <w:noProof/>
        </w:rPr>
        <w:t xml:space="preserve">Radioecology and ecophysiology of desert plants at the Nevada Test Site, </w:t>
      </w:r>
      <w:r w:rsidRPr="007A678A">
        <w:rPr>
          <w:noProof/>
        </w:rPr>
        <w:t>University of California, Riverside: Environmental Radiation Division, Los Angeles Soil Science and Agricultural Engineering.</w:t>
      </w:r>
    </w:p>
    <w:p w:rsidR="007A678A" w:rsidRPr="007A678A" w:rsidRDefault="007A678A" w:rsidP="007A678A">
      <w:pPr>
        <w:spacing w:before="120" w:after="120"/>
        <w:rPr>
          <w:noProof/>
        </w:rPr>
      </w:pPr>
      <w:r w:rsidRPr="007A678A">
        <w:rPr>
          <w:noProof/>
        </w:rPr>
        <w:t xml:space="preserve">World Nuclear News, 2016. </w:t>
      </w:r>
      <w:r w:rsidRPr="007A678A">
        <w:rPr>
          <w:i/>
          <w:iCs/>
          <w:noProof/>
        </w:rPr>
        <w:t xml:space="preserve">Fukushima Daiichi ice wall equipment in place. </w:t>
      </w:r>
      <w:r w:rsidRPr="007A678A">
        <w:rPr>
          <w:noProof/>
        </w:rPr>
        <w:t xml:space="preserve">[Online] </w:t>
      </w:r>
      <w:r w:rsidRPr="007A678A">
        <w:rPr>
          <w:noProof/>
        </w:rPr>
        <w:br/>
        <w:t xml:space="preserve">Available at: </w:t>
      </w:r>
      <w:hyperlink r:id="rId15" w:history="1">
        <w:r w:rsidRPr="007A678A">
          <w:rPr>
            <w:noProof/>
            <w:color w:val="0000FF"/>
            <w:u w:val="single"/>
          </w:rPr>
          <w:t>http://www.world-nuclear-news.org/RS-Fukushima-Daiichi-ice-wall-equipment-in-place-1002165.html</w:t>
        </w:r>
      </w:hyperlink>
      <w:r w:rsidRPr="007A678A">
        <w:rPr>
          <w:noProof/>
        </w:rPr>
        <w:t xml:space="preserve"> [Accessed 17 January 2018].</w:t>
      </w:r>
    </w:p>
    <w:p w:rsidR="007A678A" w:rsidRPr="007A678A" w:rsidRDefault="007A678A" w:rsidP="007A678A">
      <w:pPr>
        <w:spacing w:after="120"/>
        <w:jc w:val="both"/>
        <w:rPr>
          <w:noProof/>
        </w:rPr>
      </w:pPr>
      <w:r w:rsidRPr="007A678A">
        <w:rPr>
          <w:noProof/>
        </w:rPr>
        <w:t xml:space="preserve">World Nuclear News, 2018. </w:t>
      </w:r>
      <w:r w:rsidRPr="007A678A">
        <w:rPr>
          <w:i/>
          <w:iCs/>
          <w:noProof/>
        </w:rPr>
        <w:t xml:space="preserve">French soil decontamination tested in Fukushima. </w:t>
      </w:r>
      <w:r w:rsidRPr="007A678A">
        <w:rPr>
          <w:noProof/>
        </w:rPr>
        <w:t xml:space="preserve">[Online] </w:t>
      </w:r>
      <w:r w:rsidRPr="007A678A">
        <w:rPr>
          <w:noProof/>
        </w:rPr>
        <w:br/>
        <w:t xml:space="preserve">Available at: </w:t>
      </w:r>
      <w:hyperlink r:id="rId16" w:history="1">
        <w:r w:rsidRPr="007A678A">
          <w:rPr>
            <w:noProof/>
            <w:color w:val="0000FF"/>
            <w:u w:val="single"/>
          </w:rPr>
          <w:t>http://www.world-nuclear-news.org/WR-French-soil-decontamination-tested-in-Fukushima-1304184.html</w:t>
        </w:r>
      </w:hyperlink>
      <w:r w:rsidRPr="007A678A">
        <w:rPr>
          <w:noProof/>
        </w:rPr>
        <w:t xml:space="preserve"> [Accessed 19 April 2018].</w:t>
      </w:r>
    </w:p>
    <w:p w:rsidR="00D75DA2" w:rsidRPr="007A678A" w:rsidRDefault="00D75DA2" w:rsidP="007A678A"/>
    <w:sectPr w:rsidR="00D75DA2" w:rsidRPr="007A678A" w:rsidSect="005848B8">
      <w:headerReference w:type="even" r:id="rId17"/>
      <w:headerReference w:type="default" r:id="rId18"/>
      <w:footerReference w:type="even" r:id="rId19"/>
      <w:footerReference w:type="default" r:id="rId20"/>
      <w:headerReference w:type="first" r:id="rId21"/>
      <w:footerReference w:type="first" r:id="rId22"/>
      <w:type w:val="continuous"/>
      <w:pgSz w:w="11906" w:h="16838" w:code="9"/>
      <w:pgMar w:top="773" w:right="1134" w:bottom="1134" w:left="1588" w:header="142" w:footer="56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074">
      <wne:acd wne:acdName="acd7"/>
    </wne:keymap>
    <wne:keymap wne:kcmPrimary="0075">
      <wne:acd wne:acdName="acd1"/>
    </wne:keymap>
    <wne:keymap wne:kcmPrimary="0076">
      <wne:acd wne:acdName="acd2"/>
    </wne:keymap>
    <wne:keymap wne:kcmPrimary="0077">
      <wne:acd wne:acdName="acd3"/>
    </wne:keymap>
    <wne:keymap wne:kcmPrimary="0078">
      <wne:acd wne:acdName="acd4"/>
    </wne:keymap>
    <wne:keymap wne:kcmPrimary="0079">
      <wne:acd wne:acdName="acd5"/>
    </wne:keymap>
    <wne:keymap wne:kcmPrimary="007A">
      <wne:acd wne:acdName="acd6"/>
    </wne:keymap>
  </wne:keymaps>
  <wne:toolbars>
    <wne:acdManifest>
      <wne:acdEntry wne:acdName="acd0"/>
      <wne:acdEntry wne:acdName="acd1"/>
      <wne:acdEntry wne:acdName="acd2"/>
      <wne:acdEntry wne:acdName="acd3"/>
      <wne:acdEntry wne:acdName="acd4"/>
      <wne:acdEntry wne:acdName="acd5"/>
      <wne:acdEntry wne:acdName="acd6"/>
      <wne:acdEntry wne:acdName="acd7"/>
    </wne:acdManifest>
  </wne:toolbars>
  <wne:acds>
    <wne:acd wne:acdName="acd0" wne:fciIndexBasedOn="0065"/>
    <wne:acd wne:argValue="AgBUAFMAIABIAGUAYQBkAGkAbgBnACAATgB1AG0AYgBlAHIAZQBkACAAMQAuADEA" wne:acdName="acd1" wne:fciIndexBasedOn="0065"/>
    <wne:acd wne:argValue="AgBUAFMAIABIAGUAYQBkAGkAbgBnACAATgB1AG0AYgBlAHIAZQBkACAAMQAuADEALgAxAA==" wne:acdName="acd2" wne:fciIndexBasedOn="0065"/>
    <wne:acd wne:argValue="AgBUAFMAIABIAGUAYQBkAGkAbgBnACAATgB1AG0AYgBlAHIAZQBkACAAMQAuADEALgAxAC4AMQA=" wne:acdName="acd3" wne:fciIndexBasedOn="0065"/>
    <wne:acd wne:argValue="AgBUAFMAIABOAHUAbQBiAGUAcgBlAGQAIABQAGEAcgBhAGcAcgBhAHAAaAAgADEALgAxAA==" wne:acdName="acd4" wne:fciIndexBasedOn="0065"/>
    <wne:acd wne:argValue="AgBUAFMAIABCAHUAbABsAGUAdAAgADEAIABTAHEAdQBhAHIAZQA=" wne:acdName="acd5" wne:fciIndexBasedOn="0065"/>
    <wne:acd wne:argValue="AgBUAFMAIABCAHUAbABsAGUAdAAgADIAIABDAGkAcgBjAGwAZQA=" wne:acdName="acd6" wne:fciIndexBasedOn="0065"/>
    <wne:acd wne:argValue="AgBUAFMAIABIAGUAYQBkAGkAbgBnACAATgB1AG0AYgBlAHIAZQBkACAAMQAuAA==" wne:acdName="acd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2C19" w:rsidRDefault="00F52C19">
      <w:r>
        <w:separator/>
      </w:r>
    </w:p>
  </w:endnote>
  <w:endnote w:type="continuationSeparator" w:id="0">
    <w:p w:rsidR="00F52C19" w:rsidRDefault="00F52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5FB7" w:rsidRDefault="00AB5FB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DA2" w:rsidRPr="00487A22" w:rsidRDefault="00D75DA2" w:rsidP="005848B8">
    <w:pPr>
      <w:pStyle w:val="Footer"/>
      <w:tabs>
        <w:tab w:val="clear" w:pos="4153"/>
        <w:tab w:val="clear" w:pos="8306"/>
        <w:tab w:val="right" w:pos="9214"/>
      </w:tabs>
      <w:jc w:val="center"/>
      <w:rPr>
        <w:b/>
        <w:color w:val="006D68"/>
        <w:sz w:val="14"/>
        <w:szCs w:val="14"/>
      </w:rPr>
    </w:pPr>
    <w:r w:rsidRPr="00487A22">
      <w:rPr>
        <w:b/>
        <w:color w:val="006D68"/>
        <w:sz w:val="14"/>
        <w:szCs w:val="14"/>
      </w:rPr>
      <w:t xml:space="preserve">Page </w:t>
    </w:r>
    <w:r w:rsidRPr="00487A22">
      <w:rPr>
        <w:b/>
        <w:color w:val="006D68"/>
        <w:sz w:val="14"/>
        <w:szCs w:val="14"/>
      </w:rPr>
      <w:fldChar w:fldCharType="begin"/>
    </w:r>
    <w:r w:rsidRPr="00487A22">
      <w:rPr>
        <w:b/>
        <w:color w:val="006D68"/>
        <w:sz w:val="14"/>
        <w:szCs w:val="14"/>
      </w:rPr>
      <w:instrText xml:space="preserve"> PAGE </w:instrText>
    </w:r>
    <w:r w:rsidRPr="00487A22">
      <w:rPr>
        <w:b/>
        <w:color w:val="006D68"/>
        <w:sz w:val="14"/>
        <w:szCs w:val="14"/>
      </w:rPr>
      <w:fldChar w:fldCharType="separate"/>
    </w:r>
    <w:r w:rsidR="00CC0AF4">
      <w:rPr>
        <w:b/>
        <w:noProof/>
        <w:color w:val="006D68"/>
        <w:sz w:val="14"/>
        <w:szCs w:val="14"/>
      </w:rPr>
      <w:t>2</w:t>
    </w:r>
    <w:r w:rsidRPr="00487A22">
      <w:rPr>
        <w:b/>
        <w:color w:val="006D68"/>
        <w:sz w:val="14"/>
        <w:szCs w:val="14"/>
      </w:rPr>
      <w:fldChar w:fldCharType="end"/>
    </w:r>
    <w:r w:rsidRPr="00487A22">
      <w:rPr>
        <w:b/>
        <w:color w:val="006D68"/>
        <w:sz w:val="14"/>
        <w:szCs w:val="14"/>
      </w:rPr>
      <w:t xml:space="preserve"> of </w:t>
    </w:r>
    <w:r w:rsidRPr="00487A22">
      <w:rPr>
        <w:b/>
        <w:color w:val="006D68"/>
        <w:sz w:val="14"/>
        <w:szCs w:val="14"/>
      </w:rPr>
      <w:fldChar w:fldCharType="begin"/>
    </w:r>
    <w:r w:rsidRPr="00487A22">
      <w:rPr>
        <w:b/>
        <w:color w:val="006D68"/>
        <w:sz w:val="14"/>
        <w:szCs w:val="14"/>
      </w:rPr>
      <w:instrText xml:space="preserve"> NUMPAGES </w:instrText>
    </w:r>
    <w:r w:rsidRPr="00487A22">
      <w:rPr>
        <w:b/>
        <w:color w:val="006D68"/>
        <w:sz w:val="14"/>
        <w:szCs w:val="14"/>
      </w:rPr>
      <w:fldChar w:fldCharType="separate"/>
    </w:r>
    <w:r w:rsidR="00CC0AF4">
      <w:rPr>
        <w:b/>
        <w:noProof/>
        <w:color w:val="006D68"/>
        <w:sz w:val="14"/>
        <w:szCs w:val="14"/>
      </w:rPr>
      <w:t>5</w:t>
    </w:r>
    <w:r w:rsidRPr="00487A22">
      <w:rPr>
        <w:b/>
        <w:color w:val="006D68"/>
        <w:sz w:val="14"/>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DA2" w:rsidRDefault="00D75DA2" w:rsidP="00BC5FC8">
    <w:pPr>
      <w:pStyle w:val="Header"/>
      <w:jc w:val="center"/>
      <w:rPr>
        <w:b/>
        <w:color w:val="006D68"/>
        <w:sz w:val="14"/>
        <w:szCs w:val="14"/>
      </w:rPr>
    </w:pPr>
  </w:p>
  <w:p w:rsidR="00D75DA2" w:rsidRDefault="00D75DA2" w:rsidP="00BC5FC8">
    <w:pPr>
      <w:pStyle w:val="Footer"/>
      <w:tabs>
        <w:tab w:val="clear" w:pos="4153"/>
        <w:tab w:val="clear" w:pos="8306"/>
        <w:tab w:val="right" w:pos="9214"/>
      </w:tabs>
      <w:jc w:val="center"/>
      <w:rPr>
        <w:color w:val="006D68"/>
        <w:sz w:val="14"/>
        <w:szCs w:val="14"/>
      </w:rPr>
    </w:pPr>
  </w:p>
  <w:p w:rsidR="00D75DA2" w:rsidRPr="00B56CCE" w:rsidRDefault="00D75DA2" w:rsidP="005848B8">
    <w:pPr>
      <w:pStyle w:val="Footer"/>
      <w:tabs>
        <w:tab w:val="clear" w:pos="4153"/>
        <w:tab w:val="clear" w:pos="8306"/>
        <w:tab w:val="right" w:pos="9214"/>
      </w:tabs>
      <w:jc w:val="center"/>
      <w:rPr>
        <w:b/>
        <w:color w:val="006D68"/>
        <w:sz w:val="14"/>
        <w:szCs w:val="14"/>
      </w:rPr>
    </w:pPr>
    <w:r w:rsidRPr="00B56CCE">
      <w:rPr>
        <w:b/>
        <w:color w:val="006D68"/>
        <w:sz w:val="14"/>
        <w:szCs w:val="14"/>
      </w:rPr>
      <w:t xml:space="preserve">Page </w:t>
    </w:r>
    <w:r w:rsidRPr="00B56CCE">
      <w:rPr>
        <w:b/>
        <w:color w:val="006D68"/>
        <w:sz w:val="14"/>
        <w:szCs w:val="14"/>
      </w:rPr>
      <w:fldChar w:fldCharType="begin"/>
    </w:r>
    <w:r w:rsidRPr="00B56CCE">
      <w:rPr>
        <w:b/>
        <w:color w:val="006D68"/>
        <w:sz w:val="14"/>
        <w:szCs w:val="14"/>
      </w:rPr>
      <w:instrText xml:space="preserve"> PAGE </w:instrText>
    </w:r>
    <w:r w:rsidRPr="00B56CCE">
      <w:rPr>
        <w:b/>
        <w:color w:val="006D68"/>
        <w:sz w:val="14"/>
        <w:szCs w:val="14"/>
      </w:rPr>
      <w:fldChar w:fldCharType="separate"/>
    </w:r>
    <w:r w:rsidR="00CC0AF4">
      <w:rPr>
        <w:b/>
        <w:noProof/>
        <w:color w:val="006D68"/>
        <w:sz w:val="14"/>
        <w:szCs w:val="14"/>
      </w:rPr>
      <w:t>1</w:t>
    </w:r>
    <w:r w:rsidRPr="00B56CCE">
      <w:rPr>
        <w:b/>
        <w:color w:val="006D68"/>
        <w:sz w:val="14"/>
        <w:szCs w:val="14"/>
      </w:rPr>
      <w:fldChar w:fldCharType="end"/>
    </w:r>
    <w:r w:rsidRPr="00B56CCE">
      <w:rPr>
        <w:b/>
        <w:color w:val="006D68"/>
        <w:sz w:val="14"/>
        <w:szCs w:val="14"/>
      </w:rPr>
      <w:t xml:space="preserve"> of </w:t>
    </w:r>
    <w:r w:rsidRPr="00B56CCE">
      <w:rPr>
        <w:b/>
        <w:color w:val="006D68"/>
        <w:sz w:val="14"/>
        <w:szCs w:val="14"/>
      </w:rPr>
      <w:fldChar w:fldCharType="begin"/>
    </w:r>
    <w:r w:rsidRPr="00B56CCE">
      <w:rPr>
        <w:b/>
        <w:color w:val="006D68"/>
        <w:sz w:val="14"/>
        <w:szCs w:val="14"/>
      </w:rPr>
      <w:instrText xml:space="preserve"> NUMPAGES </w:instrText>
    </w:r>
    <w:r w:rsidRPr="00B56CCE">
      <w:rPr>
        <w:b/>
        <w:color w:val="006D68"/>
        <w:sz w:val="14"/>
        <w:szCs w:val="14"/>
      </w:rPr>
      <w:fldChar w:fldCharType="separate"/>
    </w:r>
    <w:r w:rsidR="00CC0AF4">
      <w:rPr>
        <w:b/>
        <w:noProof/>
        <w:color w:val="006D68"/>
        <w:sz w:val="14"/>
        <w:szCs w:val="14"/>
      </w:rPr>
      <w:t>5</w:t>
    </w:r>
    <w:r w:rsidRPr="00B56CCE">
      <w:rPr>
        <w:b/>
        <w:color w:val="006D68"/>
        <w:sz w:val="14"/>
        <w:szCs w:val="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2C19" w:rsidRDefault="00F52C19">
      <w:r>
        <w:separator/>
      </w:r>
    </w:p>
  </w:footnote>
  <w:footnote w:type="continuationSeparator" w:id="0">
    <w:p w:rsidR="00F52C19" w:rsidRDefault="00F52C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5FB7" w:rsidRDefault="00AB5FB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5FB7" w:rsidRDefault="00AB5FB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5FB7" w:rsidRDefault="00AB5FB7" w:rsidP="00A25EB0">
    <w:pPr>
      <w:pStyle w:val="Header"/>
      <w:jc w:val="right"/>
      <w:rPr>
        <w:b/>
        <w:sz w:val="20"/>
        <w:szCs w:val="20"/>
      </w:rPr>
    </w:pPr>
  </w:p>
  <w:p w:rsidR="005848B8" w:rsidRDefault="005848B8" w:rsidP="00A25EB0">
    <w:pPr>
      <w:pStyle w:val="Header"/>
      <w:jc w:val="right"/>
      <w:rPr>
        <w:b/>
        <w:sz w:val="20"/>
        <w:szCs w:val="20"/>
      </w:rPr>
    </w:pPr>
    <w:r>
      <w:rPr>
        <w:b/>
        <w:noProof/>
        <w:color w:val="006D68"/>
        <w:sz w:val="24"/>
        <w:szCs w:val="14"/>
        <w:lang w:eastAsia="en-GB"/>
      </w:rPr>
      <w:drawing>
        <wp:anchor distT="288290" distB="0" distL="288290" distR="114300" simplePos="0" relativeHeight="251657216" behindDoc="0" locked="0" layoutInCell="1" allowOverlap="0" wp14:anchorId="59948C26" wp14:editId="32D16E50">
          <wp:simplePos x="0" y="0"/>
          <wp:positionH relativeFrom="page">
            <wp:posOffset>228600</wp:posOffset>
          </wp:positionH>
          <wp:positionV relativeFrom="page">
            <wp:posOffset>174625</wp:posOffset>
          </wp:positionV>
          <wp:extent cx="6572250" cy="619125"/>
          <wp:effectExtent l="0" t="0" r="0" b="9525"/>
          <wp:wrapNone/>
          <wp:docPr id="4" name="Picture 4" descr="ONRlogoA4col_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NRlogoA4col_hi"/>
                  <pic:cNvPicPr>
                    <a:picLocks noChangeAspect="1" noChangeArrowheads="1"/>
                  </pic:cNvPicPr>
                </pic:nvPicPr>
                <pic:blipFill>
                  <a:blip r:embed="rId1">
                    <a:extLst>
                      <a:ext uri="{28A0092B-C50C-407E-A947-70E740481C1C}">
                        <a14:useLocalDpi xmlns:a14="http://schemas.microsoft.com/office/drawing/2010/main" val="0"/>
                      </a:ext>
                    </a:extLst>
                  </a:blip>
                  <a:srcRect l="7547" t="22310" r="-100261" b="23965"/>
                  <a:stretch>
                    <a:fillRect/>
                  </a:stretch>
                </pic:blipFill>
                <pic:spPr bwMode="auto">
                  <a:xfrm>
                    <a:off x="0" y="0"/>
                    <a:ext cx="6572250" cy="619125"/>
                  </a:xfrm>
                  <a:prstGeom prst="rect">
                    <a:avLst/>
                  </a:prstGeom>
                  <a:noFill/>
                </pic:spPr>
              </pic:pic>
            </a:graphicData>
          </a:graphic>
          <wp14:sizeRelH relativeFrom="page">
            <wp14:pctWidth>0</wp14:pctWidth>
          </wp14:sizeRelH>
          <wp14:sizeRelV relativeFrom="page">
            <wp14:pctHeight>0</wp14:pctHeight>
          </wp14:sizeRelV>
        </wp:anchor>
      </w:drawing>
    </w:r>
    <w:r w:rsidR="00A25EB0">
      <w:rPr>
        <w:b/>
        <w:sz w:val="20"/>
        <w:szCs w:val="20"/>
      </w:rPr>
      <w:t>ONR/T</w:t>
    </w:r>
    <w:r>
      <w:rPr>
        <w:b/>
        <w:sz w:val="20"/>
        <w:szCs w:val="20"/>
      </w:rPr>
      <w:t>3284</w:t>
    </w:r>
  </w:p>
  <w:p w:rsidR="00A25EB0" w:rsidRPr="00C754D7" w:rsidRDefault="00A25EB0" w:rsidP="00A25EB0">
    <w:pPr>
      <w:pStyle w:val="Header"/>
      <w:jc w:val="right"/>
      <w:rPr>
        <w:b/>
        <w:sz w:val="20"/>
        <w:szCs w:val="20"/>
      </w:rPr>
    </w:pPr>
    <w:r w:rsidRPr="00C754D7">
      <w:rPr>
        <w:b/>
        <w:sz w:val="20"/>
        <w:szCs w:val="20"/>
      </w:rPr>
      <w:t xml:space="preserve">SCHEDULE A </w:t>
    </w:r>
  </w:p>
  <w:p w:rsidR="00D75DA2" w:rsidRDefault="00D75DA2" w:rsidP="00CA3B14">
    <w:pPr>
      <w:pStyle w:val="Header"/>
      <w:rPr>
        <w:b/>
        <w:color w:val="006D68"/>
        <w:sz w:val="14"/>
        <w:szCs w:val="14"/>
      </w:rPr>
    </w:pPr>
  </w:p>
  <w:p w:rsidR="00D75DA2" w:rsidRDefault="00D75DA2" w:rsidP="00CA3B14">
    <w:pPr>
      <w:pStyle w:val="Header"/>
      <w:rPr>
        <w:b/>
        <w:color w:val="006D68"/>
        <w:sz w:val="14"/>
        <w:szCs w:val="14"/>
      </w:rPr>
    </w:pPr>
  </w:p>
  <w:p w:rsidR="00D75DA2" w:rsidRDefault="00D75DA2" w:rsidP="00CA3B14">
    <w:pPr>
      <w:pStyle w:val="Header"/>
      <w:rPr>
        <w:b/>
        <w:color w:val="006D68"/>
        <w:sz w:val="14"/>
        <w:szCs w:val="14"/>
      </w:rPr>
    </w:pPr>
  </w:p>
  <w:p w:rsidR="00D75DA2" w:rsidRDefault="00D75DA2" w:rsidP="00CA3B14">
    <w:pPr>
      <w:pStyle w:val="Header"/>
      <w:rPr>
        <w:b/>
        <w:color w:val="006D68"/>
        <w:sz w:val="14"/>
        <w:szCs w:val="14"/>
      </w:rPr>
    </w:pPr>
  </w:p>
  <w:p w:rsidR="00D75DA2" w:rsidRDefault="00D75DA2" w:rsidP="005848B8">
    <w:pPr>
      <w:pStyle w:val="Header"/>
      <w:jc w:val="center"/>
      <w:rPr>
        <w:b/>
        <w:color w:val="006D68"/>
        <w:sz w:val="14"/>
        <w:szCs w:val="14"/>
      </w:rPr>
    </w:pPr>
  </w:p>
  <w:p w:rsidR="00D75DA2" w:rsidRDefault="00D75DA2" w:rsidP="00CA3B14">
    <w:pPr>
      <w:pStyle w:val="Header"/>
      <w:rPr>
        <w:b/>
        <w:color w:val="006D68"/>
        <w:sz w:val="14"/>
        <w:szCs w:val="14"/>
      </w:rPr>
    </w:pPr>
  </w:p>
  <w:p w:rsidR="00D75DA2" w:rsidRPr="00D55197" w:rsidRDefault="00D75DA2" w:rsidP="00CA3B14">
    <w:pPr>
      <w:pStyle w:val="Header"/>
      <w:jc w:val="center"/>
      <w:rPr>
        <w:b/>
        <w:color w:val="006D68"/>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4A5"/>
    <w:multiLevelType w:val="hybridMultilevel"/>
    <w:tmpl w:val="ECCA9B40"/>
    <w:lvl w:ilvl="0" w:tplc="DD7C743A">
      <w:start w:val="1"/>
      <w:numFmt w:val="lowerLetter"/>
      <w:lvlText w:val="%1)"/>
      <w:lvlJc w:val="left"/>
      <w:pPr>
        <w:tabs>
          <w:tab w:val="num" w:pos="1152"/>
        </w:tabs>
        <w:ind w:left="1152" w:hanging="432"/>
      </w:pPr>
      <w:rPr>
        <w:rFonts w:ascii="Arial" w:hAnsi="Arial" w:hint="default"/>
        <w:sz w:val="24"/>
      </w:rPr>
    </w:lvl>
    <w:lvl w:ilvl="1" w:tplc="559489D2" w:tentative="1">
      <w:start w:val="1"/>
      <w:numFmt w:val="lowerLetter"/>
      <w:lvlText w:val="%2."/>
      <w:lvlJc w:val="left"/>
      <w:pPr>
        <w:tabs>
          <w:tab w:val="num" w:pos="1152"/>
        </w:tabs>
        <w:ind w:left="1152" w:hanging="360"/>
      </w:pPr>
    </w:lvl>
    <w:lvl w:ilvl="2" w:tplc="E144676C" w:tentative="1">
      <w:start w:val="1"/>
      <w:numFmt w:val="lowerRoman"/>
      <w:lvlText w:val="%3."/>
      <w:lvlJc w:val="right"/>
      <w:pPr>
        <w:tabs>
          <w:tab w:val="num" w:pos="1872"/>
        </w:tabs>
        <w:ind w:left="1872" w:hanging="180"/>
      </w:pPr>
    </w:lvl>
    <w:lvl w:ilvl="3" w:tplc="2BE8A7E2" w:tentative="1">
      <w:start w:val="1"/>
      <w:numFmt w:val="decimal"/>
      <w:lvlText w:val="%4."/>
      <w:lvlJc w:val="left"/>
      <w:pPr>
        <w:tabs>
          <w:tab w:val="num" w:pos="2592"/>
        </w:tabs>
        <w:ind w:left="2592" w:hanging="360"/>
      </w:pPr>
    </w:lvl>
    <w:lvl w:ilvl="4" w:tplc="03E8242E" w:tentative="1">
      <w:start w:val="1"/>
      <w:numFmt w:val="lowerLetter"/>
      <w:lvlText w:val="%5."/>
      <w:lvlJc w:val="left"/>
      <w:pPr>
        <w:tabs>
          <w:tab w:val="num" w:pos="3312"/>
        </w:tabs>
        <w:ind w:left="3312" w:hanging="360"/>
      </w:pPr>
    </w:lvl>
    <w:lvl w:ilvl="5" w:tplc="58042C86" w:tentative="1">
      <w:start w:val="1"/>
      <w:numFmt w:val="lowerRoman"/>
      <w:lvlText w:val="%6."/>
      <w:lvlJc w:val="right"/>
      <w:pPr>
        <w:tabs>
          <w:tab w:val="num" w:pos="4032"/>
        </w:tabs>
        <w:ind w:left="4032" w:hanging="180"/>
      </w:pPr>
    </w:lvl>
    <w:lvl w:ilvl="6" w:tplc="95F42686" w:tentative="1">
      <w:start w:val="1"/>
      <w:numFmt w:val="decimal"/>
      <w:lvlText w:val="%7."/>
      <w:lvlJc w:val="left"/>
      <w:pPr>
        <w:tabs>
          <w:tab w:val="num" w:pos="4752"/>
        </w:tabs>
        <w:ind w:left="4752" w:hanging="360"/>
      </w:pPr>
    </w:lvl>
    <w:lvl w:ilvl="7" w:tplc="32CAC66C" w:tentative="1">
      <w:start w:val="1"/>
      <w:numFmt w:val="lowerLetter"/>
      <w:lvlText w:val="%8."/>
      <w:lvlJc w:val="left"/>
      <w:pPr>
        <w:tabs>
          <w:tab w:val="num" w:pos="5472"/>
        </w:tabs>
        <w:ind w:left="5472" w:hanging="360"/>
      </w:pPr>
    </w:lvl>
    <w:lvl w:ilvl="8" w:tplc="AC34CEE0" w:tentative="1">
      <w:start w:val="1"/>
      <w:numFmt w:val="lowerRoman"/>
      <w:lvlText w:val="%9."/>
      <w:lvlJc w:val="right"/>
      <w:pPr>
        <w:tabs>
          <w:tab w:val="num" w:pos="6192"/>
        </w:tabs>
        <w:ind w:left="6192" w:hanging="180"/>
      </w:pPr>
    </w:lvl>
  </w:abstractNum>
  <w:abstractNum w:abstractNumId="1">
    <w:nsid w:val="056E78D7"/>
    <w:multiLevelType w:val="multilevel"/>
    <w:tmpl w:val="F4BC67E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86A013E"/>
    <w:multiLevelType w:val="multilevel"/>
    <w:tmpl w:val="251E6DCE"/>
    <w:lvl w:ilvl="0">
      <w:start w:val="1"/>
      <w:numFmt w:val="bullet"/>
      <w:lvlText w:val=""/>
      <w:lvlJc w:val="left"/>
      <w:pPr>
        <w:tabs>
          <w:tab w:val="num" w:pos="-31680"/>
        </w:tabs>
        <w:ind w:left="720" w:hanging="72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D5F16A6"/>
    <w:multiLevelType w:val="hybridMultilevel"/>
    <w:tmpl w:val="14B02696"/>
    <w:lvl w:ilvl="0" w:tplc="08090001">
      <w:start w:val="1"/>
      <w:numFmt w:val="bullet"/>
      <w:lvlText w:val=""/>
      <w:lvlJc w:val="left"/>
      <w:pPr>
        <w:ind w:left="726" w:hanging="360"/>
      </w:pPr>
      <w:rPr>
        <w:rFonts w:ascii="Symbol" w:hAnsi="Symbol" w:hint="default"/>
      </w:rPr>
    </w:lvl>
    <w:lvl w:ilvl="1" w:tplc="08090003" w:tentative="1">
      <w:start w:val="1"/>
      <w:numFmt w:val="bullet"/>
      <w:lvlText w:val="o"/>
      <w:lvlJc w:val="left"/>
      <w:pPr>
        <w:ind w:left="1446" w:hanging="360"/>
      </w:pPr>
      <w:rPr>
        <w:rFonts w:ascii="Courier New" w:hAnsi="Courier New" w:cs="Courier New" w:hint="default"/>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4">
    <w:nsid w:val="17677240"/>
    <w:multiLevelType w:val="hybridMultilevel"/>
    <w:tmpl w:val="FE5CBBA8"/>
    <w:lvl w:ilvl="0" w:tplc="FFFFFFFF">
      <w:start w:val="1"/>
      <w:numFmt w:val="bullet"/>
      <w:lvlText w:val=""/>
      <w:lvlJc w:val="left"/>
      <w:pPr>
        <w:ind w:left="1080" w:hanging="360"/>
      </w:pPr>
      <w:rPr>
        <w:rFonts w:ascii="Wingdings" w:hAnsi="Wingdings" w:hint="default"/>
        <w:caps w:val="0"/>
        <w:strike w:val="0"/>
        <w:dstrike w:val="0"/>
        <w:vanish w:val="0"/>
        <w:color w:val="5F5F5F"/>
        <w:sz w:val="20"/>
        <w:vertAlign w:val="baseline"/>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1C342905"/>
    <w:multiLevelType w:val="hybridMultilevel"/>
    <w:tmpl w:val="C37E6E16"/>
    <w:lvl w:ilvl="0" w:tplc="2306F78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31F22F6"/>
    <w:multiLevelType w:val="multilevel"/>
    <w:tmpl w:val="251E6DCE"/>
    <w:lvl w:ilvl="0">
      <w:start w:val="1"/>
      <w:numFmt w:val="bullet"/>
      <w:lvlText w:val=""/>
      <w:lvlJc w:val="left"/>
      <w:pPr>
        <w:tabs>
          <w:tab w:val="num" w:pos="-31680"/>
        </w:tabs>
        <w:ind w:left="720" w:hanging="72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24866945"/>
    <w:multiLevelType w:val="hybridMultilevel"/>
    <w:tmpl w:val="21B8E1B4"/>
    <w:lvl w:ilvl="0" w:tplc="9710B646">
      <w:start w:val="1"/>
      <w:numFmt w:val="bullet"/>
      <w:pStyle w:val="TSBullet2Circle"/>
      <w:lvlText w:val=""/>
      <w:lvlJc w:val="left"/>
      <w:pPr>
        <w:tabs>
          <w:tab w:val="num" w:pos="-31680"/>
        </w:tabs>
        <w:ind w:left="2160" w:hanging="720"/>
      </w:pPr>
      <w:rPr>
        <w:rFonts w:ascii="Symbol" w:hAnsi="Symbol" w:hint="default"/>
        <w:b w:val="0"/>
        <w:i w:val="0"/>
        <w:color w:val="333333"/>
        <w:sz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278D0730"/>
    <w:multiLevelType w:val="multilevel"/>
    <w:tmpl w:val="03CAB566"/>
    <w:lvl w:ilvl="0">
      <w:start w:val="1"/>
      <w:numFmt w:val="bullet"/>
      <w:lvlText w:val=""/>
      <w:lvlJc w:val="left"/>
      <w:pPr>
        <w:tabs>
          <w:tab w:val="num" w:pos="-31680"/>
        </w:tabs>
        <w:ind w:left="720" w:hanging="720"/>
      </w:pPr>
      <w:rPr>
        <w:rFonts w:ascii="Symbol" w:hAnsi="Symbol" w:hint="default"/>
        <w:b w:val="0"/>
        <w:i w:val="0"/>
        <w:sz w:val="24"/>
      </w:rPr>
    </w:lvl>
    <w:lvl w:ilvl="1">
      <w:start w:val="1"/>
      <w:numFmt w:val="bullet"/>
      <w:lvlText w:val="○"/>
      <w:lvlJc w:val="left"/>
      <w:pPr>
        <w:tabs>
          <w:tab w:val="num" w:pos="-31680"/>
        </w:tabs>
        <w:ind w:left="1440" w:hanging="720"/>
      </w:pPr>
      <w:rPr>
        <w:rFonts w:ascii="Arial" w:hAnsi="Arial"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24"/>
        </w:tabs>
        <w:ind w:left="1224" w:hanging="864"/>
      </w:pPr>
      <w:rPr>
        <w:rFonts w:hint="default"/>
      </w:rPr>
    </w:lvl>
    <w:lvl w:ilvl="4">
      <w:start w:val="1"/>
      <w:numFmt w:val="lowerLetter"/>
      <w:lvlRestart w:val="0"/>
      <w:lvlText w:val="%5)"/>
      <w:lvlJc w:val="left"/>
      <w:pPr>
        <w:tabs>
          <w:tab w:val="num" w:pos="1800"/>
        </w:tabs>
        <w:ind w:left="1800" w:hanging="720"/>
      </w:pPr>
      <w:rPr>
        <w:rFonts w:hint="default"/>
      </w:rPr>
    </w:lvl>
    <w:lvl w:ilvl="5">
      <w:start w:val="1"/>
      <w:numFmt w:val="lowerRoman"/>
      <w:lvlText w:val="%6)"/>
      <w:lvlJc w:val="left"/>
      <w:pPr>
        <w:tabs>
          <w:tab w:val="num" w:pos="2401"/>
        </w:tabs>
        <w:ind w:left="2401" w:hanging="601"/>
      </w:pPr>
      <w:rPr>
        <w:rFonts w:hint="default"/>
      </w:rPr>
    </w:lvl>
    <w:lvl w:ilvl="6">
      <w:start w:val="1"/>
      <w:numFmt w:val="bullet"/>
      <w:lvlText w:val=""/>
      <w:lvlJc w:val="left"/>
      <w:pPr>
        <w:tabs>
          <w:tab w:val="num" w:pos="360"/>
        </w:tabs>
        <w:ind w:left="1080" w:hanging="720"/>
      </w:pPr>
      <w:rPr>
        <w:rFonts w:ascii="Symbol" w:hAnsi="Symbol" w:hint="default"/>
        <w:sz w:val="24"/>
      </w:rPr>
    </w:lvl>
    <w:lvl w:ilvl="7">
      <w:start w:val="1"/>
      <w:numFmt w:val="bullet"/>
      <w:lvlText w:val=""/>
      <w:lvlJc w:val="left"/>
      <w:pPr>
        <w:tabs>
          <w:tab w:val="num" w:pos="1800"/>
        </w:tabs>
        <w:ind w:left="1800" w:hanging="720"/>
      </w:pPr>
      <w:rPr>
        <w:rFonts w:ascii="Symbol" w:hAnsi="Symbol" w:hint="default"/>
        <w:sz w:val="28"/>
      </w:rPr>
    </w:lvl>
    <w:lvl w:ilvl="8">
      <w:start w:val="1"/>
      <w:numFmt w:val="bullet"/>
      <w:lvlText w:val=""/>
      <w:lvlJc w:val="left"/>
      <w:pPr>
        <w:tabs>
          <w:tab w:val="num" w:pos="2401"/>
        </w:tabs>
        <w:ind w:left="2401" w:hanging="601"/>
      </w:pPr>
      <w:rPr>
        <w:rFonts w:ascii="Symbol" w:hAnsi="Symbol" w:hint="default"/>
        <w:sz w:val="28"/>
      </w:rPr>
    </w:lvl>
  </w:abstractNum>
  <w:abstractNum w:abstractNumId="9">
    <w:nsid w:val="29706A39"/>
    <w:multiLevelType w:val="multilevel"/>
    <w:tmpl w:val="3858D28C"/>
    <w:lvl w:ilvl="0">
      <w:start w:val="1"/>
      <w:numFmt w:val="decimal"/>
      <w:pStyle w:val="TSHeadingNumbered1"/>
      <w:lvlText w:val="%1"/>
      <w:lvlJc w:val="left"/>
      <w:pPr>
        <w:tabs>
          <w:tab w:val="num" w:pos="-31680"/>
        </w:tabs>
        <w:ind w:left="720" w:hanging="720"/>
      </w:pPr>
      <w:rPr>
        <w:rFonts w:hint="default"/>
        <w:sz w:val="22"/>
      </w:rPr>
    </w:lvl>
    <w:lvl w:ilvl="1">
      <w:start w:val="1"/>
      <w:numFmt w:val="decimal"/>
      <w:pStyle w:val="TSHeadingNumbered11"/>
      <w:lvlText w:val="%1.%2"/>
      <w:lvlJc w:val="left"/>
      <w:pPr>
        <w:tabs>
          <w:tab w:val="num" w:pos="-31680"/>
        </w:tabs>
        <w:ind w:left="720" w:hanging="720"/>
      </w:pPr>
      <w:rPr>
        <w:rFonts w:hint="default"/>
        <w:sz w:val="22"/>
      </w:rPr>
    </w:lvl>
    <w:lvl w:ilvl="2">
      <w:start w:val="1"/>
      <w:numFmt w:val="decimal"/>
      <w:pStyle w:val="TSHeadingNumbered111"/>
      <w:lvlText w:val="%1.%2.%3"/>
      <w:lvlJc w:val="left"/>
      <w:pPr>
        <w:tabs>
          <w:tab w:val="num" w:pos="-31680"/>
        </w:tabs>
        <w:ind w:left="720" w:hanging="720"/>
      </w:pPr>
      <w:rPr>
        <w:rFonts w:hint="default"/>
        <w:sz w:val="22"/>
      </w:rPr>
    </w:lvl>
    <w:lvl w:ilvl="3">
      <w:start w:val="1"/>
      <w:numFmt w:val="decimal"/>
      <w:pStyle w:val="TSHeadingNumbered1111"/>
      <w:lvlText w:val="%1.%2.%3.%4"/>
      <w:lvlJc w:val="left"/>
      <w:pPr>
        <w:tabs>
          <w:tab w:val="num" w:pos="-31680"/>
        </w:tabs>
        <w:ind w:left="720" w:hanging="720"/>
      </w:pPr>
      <w:rPr>
        <w:rFonts w:hint="default"/>
        <w:sz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26E5F7C"/>
    <w:multiLevelType w:val="multilevel"/>
    <w:tmpl w:val="23BC3426"/>
    <w:lvl w:ilvl="0">
      <w:start w:val="1"/>
      <w:numFmt w:val="decimal"/>
      <w:lvlText w:val="%1"/>
      <w:lvlJc w:val="left"/>
      <w:pPr>
        <w:tabs>
          <w:tab w:val="num" w:pos="-31680"/>
        </w:tabs>
        <w:ind w:left="720" w:hanging="720"/>
      </w:pPr>
      <w:rPr>
        <w:rFonts w:hint="default"/>
      </w:rPr>
    </w:lvl>
    <w:lvl w:ilvl="1">
      <w:start w:val="1"/>
      <w:numFmt w:val="decimal"/>
      <w:lvlText w:val="%1.%2"/>
      <w:lvlJc w:val="left"/>
      <w:pPr>
        <w:tabs>
          <w:tab w:val="num" w:pos="-31680"/>
        </w:tabs>
        <w:ind w:left="720" w:hanging="720"/>
      </w:pPr>
      <w:rPr>
        <w:rFonts w:hint="default"/>
      </w:rPr>
    </w:lvl>
    <w:lvl w:ilvl="2">
      <w:start w:val="1"/>
      <w:numFmt w:val="decimal"/>
      <w:lvlText w:val="%1.%2.%3"/>
      <w:lvlJc w:val="left"/>
      <w:pPr>
        <w:tabs>
          <w:tab w:val="num" w:pos="-31680"/>
        </w:tabs>
        <w:ind w:left="720" w:hanging="720"/>
      </w:pPr>
      <w:rPr>
        <w:rFonts w:hint="default"/>
      </w:rPr>
    </w:lvl>
    <w:lvl w:ilvl="3">
      <w:start w:val="1"/>
      <w:numFmt w:val="decimal"/>
      <w:lvlText w:val="%1.%2.%3.%4"/>
      <w:lvlJc w:val="left"/>
      <w:pPr>
        <w:tabs>
          <w:tab w:val="num" w:pos="-31680"/>
        </w:tabs>
        <w:ind w:left="720" w:hanging="72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35971C1C"/>
    <w:multiLevelType w:val="hybridMultilevel"/>
    <w:tmpl w:val="42F8B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7AE5F86"/>
    <w:multiLevelType w:val="hybridMultilevel"/>
    <w:tmpl w:val="BE869862"/>
    <w:lvl w:ilvl="0" w:tplc="0CA46EF4">
      <w:start w:val="1"/>
      <w:numFmt w:val="lowerRoman"/>
      <w:lvlText w:val="%1)"/>
      <w:lvlJc w:val="right"/>
      <w:pPr>
        <w:tabs>
          <w:tab w:val="num" w:pos="1656"/>
        </w:tabs>
        <w:ind w:left="1656" w:hanging="360"/>
      </w:pPr>
      <w:rPr>
        <w:rFonts w:ascii="Arial" w:hAnsi="Arial" w:hint="default"/>
        <w:b w:val="0"/>
        <w:i w:val="0"/>
        <w:sz w:val="24"/>
      </w:rPr>
    </w:lvl>
    <w:lvl w:ilvl="1" w:tplc="284EAE58" w:tentative="1">
      <w:start w:val="1"/>
      <w:numFmt w:val="lowerLetter"/>
      <w:lvlText w:val="%2."/>
      <w:lvlJc w:val="left"/>
      <w:pPr>
        <w:tabs>
          <w:tab w:val="num" w:pos="1440"/>
        </w:tabs>
        <w:ind w:left="1440" w:hanging="360"/>
      </w:pPr>
    </w:lvl>
    <w:lvl w:ilvl="2" w:tplc="EC5C3B40" w:tentative="1">
      <w:start w:val="1"/>
      <w:numFmt w:val="lowerRoman"/>
      <w:lvlText w:val="%3."/>
      <w:lvlJc w:val="right"/>
      <w:pPr>
        <w:tabs>
          <w:tab w:val="num" w:pos="2160"/>
        </w:tabs>
        <w:ind w:left="2160" w:hanging="180"/>
      </w:pPr>
    </w:lvl>
    <w:lvl w:ilvl="3" w:tplc="7A8A8FBC" w:tentative="1">
      <w:start w:val="1"/>
      <w:numFmt w:val="decimal"/>
      <w:lvlText w:val="%4."/>
      <w:lvlJc w:val="left"/>
      <w:pPr>
        <w:tabs>
          <w:tab w:val="num" w:pos="2880"/>
        </w:tabs>
        <w:ind w:left="2880" w:hanging="360"/>
      </w:pPr>
    </w:lvl>
    <w:lvl w:ilvl="4" w:tplc="C2D88370" w:tentative="1">
      <w:start w:val="1"/>
      <w:numFmt w:val="lowerLetter"/>
      <w:lvlText w:val="%5."/>
      <w:lvlJc w:val="left"/>
      <w:pPr>
        <w:tabs>
          <w:tab w:val="num" w:pos="3600"/>
        </w:tabs>
        <w:ind w:left="3600" w:hanging="360"/>
      </w:pPr>
    </w:lvl>
    <w:lvl w:ilvl="5" w:tplc="E3AE4C10" w:tentative="1">
      <w:start w:val="1"/>
      <w:numFmt w:val="lowerRoman"/>
      <w:lvlText w:val="%6."/>
      <w:lvlJc w:val="right"/>
      <w:pPr>
        <w:tabs>
          <w:tab w:val="num" w:pos="4320"/>
        </w:tabs>
        <w:ind w:left="4320" w:hanging="180"/>
      </w:pPr>
    </w:lvl>
    <w:lvl w:ilvl="6" w:tplc="61C8B400" w:tentative="1">
      <w:start w:val="1"/>
      <w:numFmt w:val="decimal"/>
      <w:lvlText w:val="%7."/>
      <w:lvlJc w:val="left"/>
      <w:pPr>
        <w:tabs>
          <w:tab w:val="num" w:pos="5040"/>
        </w:tabs>
        <w:ind w:left="5040" w:hanging="360"/>
      </w:pPr>
    </w:lvl>
    <w:lvl w:ilvl="7" w:tplc="03E00AF4" w:tentative="1">
      <w:start w:val="1"/>
      <w:numFmt w:val="lowerLetter"/>
      <w:lvlText w:val="%8."/>
      <w:lvlJc w:val="left"/>
      <w:pPr>
        <w:tabs>
          <w:tab w:val="num" w:pos="5760"/>
        </w:tabs>
        <w:ind w:left="5760" w:hanging="360"/>
      </w:pPr>
    </w:lvl>
    <w:lvl w:ilvl="8" w:tplc="71507626" w:tentative="1">
      <w:start w:val="1"/>
      <w:numFmt w:val="lowerRoman"/>
      <w:lvlText w:val="%9."/>
      <w:lvlJc w:val="right"/>
      <w:pPr>
        <w:tabs>
          <w:tab w:val="num" w:pos="6480"/>
        </w:tabs>
        <w:ind w:left="6480" w:hanging="180"/>
      </w:pPr>
    </w:lvl>
  </w:abstractNum>
  <w:abstractNum w:abstractNumId="13">
    <w:nsid w:val="38CF09A6"/>
    <w:multiLevelType w:val="hybridMultilevel"/>
    <w:tmpl w:val="A034732C"/>
    <w:lvl w:ilvl="0" w:tplc="2306F78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A131EFE"/>
    <w:multiLevelType w:val="multilevel"/>
    <w:tmpl w:val="1298B7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lowerLetter"/>
      <w:lvlText w:val="(%5)"/>
      <w:lvlJc w:val="left"/>
      <w:pPr>
        <w:tabs>
          <w:tab w:val="num" w:pos="-31680"/>
        </w:tabs>
        <w:ind w:left="1440" w:hanging="720"/>
      </w:pPr>
      <w:rPr>
        <w:rFonts w:hint="default"/>
      </w:rPr>
    </w:lvl>
    <w:lvl w:ilvl="5">
      <w:start w:val="1"/>
      <w:numFmt w:val="lowerRoman"/>
      <w:lvlText w:val="(%6)"/>
      <w:lvlJc w:val="left"/>
      <w:pPr>
        <w:tabs>
          <w:tab w:val="num" w:pos="-31680"/>
        </w:tabs>
        <w:ind w:left="2160" w:hanging="720"/>
      </w:pPr>
      <w:rPr>
        <w:rFonts w:hint="default"/>
      </w:rPr>
    </w:lvl>
    <w:lvl w:ilvl="6">
      <w:start w:val="1"/>
      <w:numFmt w:val="bullet"/>
      <w:lvlText w:val=""/>
      <w:lvlJc w:val="left"/>
      <w:pPr>
        <w:tabs>
          <w:tab w:val="num" w:pos="720"/>
        </w:tabs>
        <w:ind w:left="720" w:hanging="720"/>
      </w:pPr>
      <w:rPr>
        <w:rFonts w:ascii="Symbol" w:hAnsi="Symbol" w:hint="default"/>
        <w:sz w:val="24"/>
      </w:rPr>
    </w:lvl>
    <w:lvl w:ilvl="7">
      <w:start w:val="1"/>
      <w:numFmt w:val="bullet"/>
      <w:lvlText w:val=""/>
      <w:lvlJc w:val="left"/>
      <w:pPr>
        <w:tabs>
          <w:tab w:val="num" w:pos="1440"/>
        </w:tabs>
        <w:ind w:left="1440" w:hanging="720"/>
      </w:pPr>
      <w:rPr>
        <w:rFonts w:ascii="Symbol" w:hAnsi="Symbol" w:hint="default"/>
        <w:sz w:val="28"/>
      </w:rPr>
    </w:lvl>
    <w:lvl w:ilvl="8">
      <w:start w:val="1"/>
      <w:numFmt w:val="bullet"/>
      <w:lvlText w:val=""/>
      <w:lvlJc w:val="left"/>
      <w:pPr>
        <w:tabs>
          <w:tab w:val="num" w:pos="2041"/>
        </w:tabs>
        <w:ind w:left="2041" w:hanging="601"/>
      </w:pPr>
      <w:rPr>
        <w:rFonts w:ascii="Symbol" w:hAnsi="Symbol" w:hint="default"/>
        <w:sz w:val="28"/>
      </w:rPr>
    </w:lvl>
  </w:abstractNum>
  <w:abstractNum w:abstractNumId="15">
    <w:nsid w:val="446B0550"/>
    <w:multiLevelType w:val="multilevel"/>
    <w:tmpl w:val="5268E894"/>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482E4174"/>
    <w:multiLevelType w:val="hybridMultilevel"/>
    <w:tmpl w:val="89E69E38"/>
    <w:lvl w:ilvl="0" w:tplc="08090005">
      <w:start w:val="1"/>
      <w:numFmt w:val="bullet"/>
      <w:lvlText w:val=""/>
      <w:lvlJc w:val="left"/>
      <w:pPr>
        <w:ind w:left="1070" w:hanging="360"/>
      </w:pPr>
      <w:rPr>
        <w:rFonts w:ascii="Wingdings" w:hAnsi="Wingdings" w:hint="default"/>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17">
    <w:nsid w:val="5210085E"/>
    <w:multiLevelType w:val="hybridMultilevel"/>
    <w:tmpl w:val="539629AE"/>
    <w:lvl w:ilvl="0" w:tplc="3198DE8C">
      <w:start w:val="1"/>
      <w:numFmt w:val="decimal"/>
      <w:lvlText w:val="1.%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8">
    <w:nsid w:val="55AD1E13"/>
    <w:multiLevelType w:val="hybridMultilevel"/>
    <w:tmpl w:val="CB5E6A0E"/>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nsid w:val="5B505AB8"/>
    <w:multiLevelType w:val="multilevel"/>
    <w:tmpl w:val="DE84116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lowerLetter"/>
      <w:lvlRestart w:val="1"/>
      <w:lvlText w:val="(%5)"/>
      <w:lvlJc w:val="left"/>
      <w:pPr>
        <w:tabs>
          <w:tab w:val="num" w:pos="-31680"/>
        </w:tabs>
        <w:ind w:left="1440" w:hanging="720"/>
      </w:pPr>
      <w:rPr>
        <w:rFonts w:hint="default"/>
      </w:rPr>
    </w:lvl>
    <w:lvl w:ilvl="5">
      <w:start w:val="1"/>
      <w:numFmt w:val="lowerRoman"/>
      <w:lvlRestart w:val="1"/>
      <w:lvlText w:val="(%6)"/>
      <w:lvlJc w:val="left"/>
      <w:pPr>
        <w:tabs>
          <w:tab w:val="num" w:pos="-31680"/>
        </w:tabs>
        <w:ind w:left="2160" w:hanging="720"/>
      </w:pPr>
      <w:rPr>
        <w:rFonts w:hint="default"/>
      </w:rPr>
    </w:lvl>
    <w:lvl w:ilvl="6">
      <w:start w:val="1"/>
      <w:numFmt w:val="bullet"/>
      <w:lvlText w:val=""/>
      <w:lvlJc w:val="left"/>
      <w:pPr>
        <w:tabs>
          <w:tab w:val="num" w:pos="720"/>
        </w:tabs>
        <w:ind w:left="720" w:hanging="720"/>
      </w:pPr>
      <w:rPr>
        <w:rFonts w:ascii="Symbol" w:hAnsi="Symbol" w:hint="default"/>
        <w:sz w:val="24"/>
      </w:rPr>
    </w:lvl>
    <w:lvl w:ilvl="7">
      <w:start w:val="1"/>
      <w:numFmt w:val="bullet"/>
      <w:lvlText w:val=""/>
      <w:lvlJc w:val="left"/>
      <w:pPr>
        <w:tabs>
          <w:tab w:val="num" w:pos="1440"/>
        </w:tabs>
        <w:ind w:left="1440" w:hanging="720"/>
      </w:pPr>
      <w:rPr>
        <w:rFonts w:ascii="Symbol" w:hAnsi="Symbol" w:hint="default"/>
        <w:sz w:val="28"/>
      </w:rPr>
    </w:lvl>
    <w:lvl w:ilvl="8">
      <w:start w:val="1"/>
      <w:numFmt w:val="bullet"/>
      <w:lvlText w:val=""/>
      <w:lvlJc w:val="left"/>
      <w:pPr>
        <w:tabs>
          <w:tab w:val="num" w:pos="2041"/>
        </w:tabs>
        <w:ind w:left="2041" w:hanging="601"/>
      </w:pPr>
      <w:rPr>
        <w:rFonts w:ascii="Symbol" w:hAnsi="Symbol" w:hint="default"/>
        <w:sz w:val="28"/>
      </w:rPr>
    </w:lvl>
  </w:abstractNum>
  <w:abstractNum w:abstractNumId="20">
    <w:nsid w:val="683E5632"/>
    <w:multiLevelType w:val="multilevel"/>
    <w:tmpl w:val="4ADE8ED8"/>
    <w:lvl w:ilvl="0">
      <w:start w:val="1"/>
      <w:numFmt w:val="decimal"/>
      <w:lvlText w:val="%1"/>
      <w:lvlJc w:val="left"/>
      <w:pPr>
        <w:tabs>
          <w:tab w:val="num" w:pos="-31680"/>
        </w:tabs>
        <w:ind w:left="720" w:hanging="72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697D241D"/>
    <w:multiLevelType w:val="hybridMultilevel"/>
    <w:tmpl w:val="51244720"/>
    <w:lvl w:ilvl="0" w:tplc="FFFFFFFF">
      <w:start w:val="1"/>
      <w:numFmt w:val="bullet"/>
      <w:lvlText w:val=""/>
      <w:lvlJc w:val="left"/>
      <w:pPr>
        <w:ind w:left="1429" w:hanging="360"/>
      </w:pPr>
      <w:rPr>
        <w:rFonts w:ascii="Wingdings" w:hAnsi="Wingdings" w:hint="default"/>
        <w:caps w:val="0"/>
        <w:strike w:val="0"/>
        <w:dstrike w:val="0"/>
        <w:vanish w:val="0"/>
        <w:color w:val="5F5F5F"/>
        <w:sz w:val="20"/>
        <w:vertAlign w:val="baseline"/>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nsid w:val="6E451CAE"/>
    <w:multiLevelType w:val="multilevel"/>
    <w:tmpl w:val="603C673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lowerLetter"/>
      <w:lvlRestart w:val="0"/>
      <w:lvlText w:val="%5)"/>
      <w:lvlJc w:val="left"/>
      <w:pPr>
        <w:tabs>
          <w:tab w:val="num" w:pos="1440"/>
        </w:tabs>
        <w:ind w:left="1440" w:hanging="720"/>
      </w:pPr>
      <w:rPr>
        <w:rFonts w:hint="default"/>
      </w:rPr>
    </w:lvl>
    <w:lvl w:ilvl="5">
      <w:start w:val="1"/>
      <w:numFmt w:val="lowerRoman"/>
      <w:lvlText w:val="%6)"/>
      <w:lvlJc w:val="left"/>
      <w:pPr>
        <w:tabs>
          <w:tab w:val="num" w:pos="2041"/>
        </w:tabs>
        <w:ind w:left="2041" w:hanging="601"/>
      </w:pPr>
      <w:rPr>
        <w:rFonts w:hint="default"/>
      </w:rPr>
    </w:lvl>
    <w:lvl w:ilvl="6">
      <w:start w:val="1"/>
      <w:numFmt w:val="bullet"/>
      <w:lvlText w:val=""/>
      <w:lvlJc w:val="left"/>
      <w:pPr>
        <w:tabs>
          <w:tab w:val="num" w:pos="720"/>
        </w:tabs>
        <w:ind w:left="720" w:hanging="720"/>
      </w:pPr>
      <w:rPr>
        <w:rFonts w:ascii="Symbol" w:hAnsi="Symbol" w:hint="default"/>
        <w:sz w:val="24"/>
      </w:rPr>
    </w:lvl>
    <w:lvl w:ilvl="7">
      <w:start w:val="1"/>
      <w:numFmt w:val="bullet"/>
      <w:lvlText w:val=""/>
      <w:lvlJc w:val="left"/>
      <w:pPr>
        <w:tabs>
          <w:tab w:val="num" w:pos="1440"/>
        </w:tabs>
        <w:ind w:left="1440" w:hanging="720"/>
      </w:pPr>
      <w:rPr>
        <w:rFonts w:ascii="Symbol" w:hAnsi="Symbol" w:hint="default"/>
        <w:sz w:val="28"/>
      </w:rPr>
    </w:lvl>
    <w:lvl w:ilvl="8">
      <w:start w:val="1"/>
      <w:numFmt w:val="bullet"/>
      <w:lvlText w:val=""/>
      <w:lvlJc w:val="left"/>
      <w:pPr>
        <w:tabs>
          <w:tab w:val="num" w:pos="2041"/>
        </w:tabs>
        <w:ind w:left="2041" w:hanging="601"/>
      </w:pPr>
      <w:rPr>
        <w:rFonts w:ascii="Symbol" w:hAnsi="Symbol" w:hint="default"/>
        <w:sz w:val="28"/>
      </w:rPr>
    </w:lvl>
  </w:abstractNum>
  <w:abstractNum w:abstractNumId="23">
    <w:nsid w:val="6ED77F93"/>
    <w:multiLevelType w:val="hybridMultilevel"/>
    <w:tmpl w:val="1492722C"/>
    <w:lvl w:ilvl="0" w:tplc="FFFFFFFF">
      <w:start w:val="1"/>
      <w:numFmt w:val="bullet"/>
      <w:lvlText w:val=""/>
      <w:lvlJc w:val="left"/>
      <w:pPr>
        <w:ind w:left="1069" w:hanging="360"/>
      </w:pPr>
      <w:rPr>
        <w:rFonts w:ascii="Wingdings" w:hAnsi="Wingdings" w:hint="default"/>
        <w:caps w:val="0"/>
        <w:strike w:val="0"/>
        <w:dstrike w:val="0"/>
        <w:vanish w:val="0"/>
        <w:color w:val="5F5F5F"/>
        <w:sz w:val="20"/>
        <w:vertAlign w:val="baseline"/>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4">
    <w:nsid w:val="70C2195C"/>
    <w:multiLevelType w:val="hybridMultilevel"/>
    <w:tmpl w:val="11C8635E"/>
    <w:lvl w:ilvl="0" w:tplc="84BA4EF8">
      <w:start w:val="1"/>
      <w:numFmt w:val="bullet"/>
      <w:pStyle w:val="TSBullet1Square"/>
      <w:lvlText w:val=""/>
      <w:lvlJc w:val="left"/>
      <w:pPr>
        <w:tabs>
          <w:tab w:val="num" w:pos="-31680"/>
        </w:tabs>
        <w:ind w:left="1440" w:hanging="720"/>
      </w:pPr>
      <w:rPr>
        <w:rFonts w:ascii="Wingdings" w:hAnsi="Wingdings" w:hint="default"/>
        <w:b w:val="0"/>
        <w:i w:val="0"/>
        <w:color w:val="333333"/>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72421566"/>
    <w:multiLevelType w:val="hybridMultilevel"/>
    <w:tmpl w:val="1B26CC14"/>
    <w:lvl w:ilvl="0" w:tplc="81DE8800">
      <w:start w:val="1"/>
      <w:numFmt w:val="bullet"/>
      <w:lvlText w:val=""/>
      <w:lvlJc w:val="left"/>
      <w:pPr>
        <w:ind w:left="726" w:hanging="360"/>
      </w:pPr>
      <w:rPr>
        <w:rFonts w:ascii="Symbol" w:hAnsi="Symbol" w:hint="default"/>
      </w:rPr>
    </w:lvl>
    <w:lvl w:ilvl="1" w:tplc="08090003" w:tentative="1">
      <w:start w:val="1"/>
      <w:numFmt w:val="bullet"/>
      <w:lvlText w:val="o"/>
      <w:lvlJc w:val="left"/>
      <w:pPr>
        <w:ind w:left="1446" w:hanging="360"/>
      </w:pPr>
      <w:rPr>
        <w:rFonts w:ascii="Courier New" w:hAnsi="Courier New" w:cs="Courier New" w:hint="default"/>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26">
    <w:nsid w:val="752C659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752E4177"/>
    <w:multiLevelType w:val="multilevel"/>
    <w:tmpl w:val="251E6DCE"/>
    <w:lvl w:ilvl="0">
      <w:start w:val="1"/>
      <w:numFmt w:val="bullet"/>
      <w:lvlText w:val=""/>
      <w:lvlJc w:val="left"/>
      <w:pPr>
        <w:tabs>
          <w:tab w:val="num" w:pos="-31680"/>
        </w:tabs>
        <w:ind w:left="720" w:hanging="72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75662619"/>
    <w:multiLevelType w:val="hybridMultilevel"/>
    <w:tmpl w:val="43F8FBF0"/>
    <w:lvl w:ilvl="0" w:tplc="D44C0BEE">
      <w:start w:val="1"/>
      <w:numFmt w:val="bullet"/>
      <w:lvlText w:val=""/>
      <w:lvlJc w:val="left"/>
      <w:pPr>
        <w:tabs>
          <w:tab w:val="num" w:pos="1191"/>
        </w:tabs>
        <w:ind w:left="1191" w:hanging="45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8"/>
  </w:num>
  <w:num w:numId="3">
    <w:abstractNumId w:val="14"/>
  </w:num>
  <w:num w:numId="4">
    <w:abstractNumId w:val="0"/>
  </w:num>
  <w:num w:numId="5">
    <w:abstractNumId w:val="12"/>
  </w:num>
  <w:num w:numId="6">
    <w:abstractNumId w:val="26"/>
  </w:num>
  <w:num w:numId="7">
    <w:abstractNumId w:val="22"/>
  </w:num>
  <w:num w:numId="8">
    <w:abstractNumId w:val="19"/>
  </w:num>
  <w:num w:numId="9">
    <w:abstractNumId w:val="27"/>
  </w:num>
  <w:num w:numId="10">
    <w:abstractNumId w:val="2"/>
  </w:num>
  <w:num w:numId="11">
    <w:abstractNumId w:val="6"/>
  </w:num>
  <w:num w:numId="12">
    <w:abstractNumId w:val="9"/>
  </w:num>
  <w:num w:numId="13">
    <w:abstractNumId w:val="1"/>
  </w:num>
  <w:num w:numId="14">
    <w:abstractNumId w:val="20"/>
  </w:num>
  <w:num w:numId="15">
    <w:abstractNumId w:val="10"/>
  </w:num>
  <w:num w:numId="16">
    <w:abstractNumId w:val="24"/>
  </w:num>
  <w:num w:numId="17">
    <w:abstractNumId w:val="7"/>
  </w:num>
  <w:num w:numId="18">
    <w:abstractNumId w:val="15"/>
  </w:num>
  <w:num w:numId="19">
    <w:abstractNumId w:val="13"/>
  </w:num>
  <w:num w:numId="20">
    <w:abstractNumId w:val="3"/>
  </w:num>
  <w:num w:numId="21">
    <w:abstractNumId w:val="25"/>
  </w:num>
  <w:num w:numId="22">
    <w:abstractNumId w:val="4"/>
  </w:num>
  <w:num w:numId="23">
    <w:abstractNumId w:val="21"/>
  </w:num>
  <w:num w:numId="24">
    <w:abstractNumId w:val="23"/>
  </w:num>
  <w:num w:numId="25">
    <w:abstractNumId w:val="11"/>
  </w:num>
  <w:num w:numId="26">
    <w:abstractNumId w:val="5"/>
  </w:num>
  <w:num w:numId="27">
    <w:abstractNumId w:val="17"/>
  </w:num>
  <w:num w:numId="28">
    <w:abstractNumId w:val="9"/>
  </w:num>
  <w:num w:numId="29">
    <w:abstractNumId w:val="9"/>
  </w:num>
  <w:num w:numId="30">
    <w:abstractNumId w:val="9"/>
  </w:num>
  <w:num w:numId="31">
    <w:abstractNumId w:val="9"/>
  </w:num>
  <w:num w:numId="32">
    <w:abstractNumId w:val="18"/>
  </w:num>
  <w:num w:numId="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A22"/>
    <w:rsid w:val="00022132"/>
    <w:rsid w:val="00030D3C"/>
    <w:rsid w:val="000312D3"/>
    <w:rsid w:val="000375D1"/>
    <w:rsid w:val="000715BD"/>
    <w:rsid w:val="00096F71"/>
    <w:rsid w:val="000B0C0B"/>
    <w:rsid w:val="000B1830"/>
    <w:rsid w:val="000B3564"/>
    <w:rsid w:val="000B4E40"/>
    <w:rsid w:val="000D6244"/>
    <w:rsid w:val="00121C8F"/>
    <w:rsid w:val="00131ECC"/>
    <w:rsid w:val="00144CEA"/>
    <w:rsid w:val="00164BF5"/>
    <w:rsid w:val="00164F4F"/>
    <w:rsid w:val="001772CC"/>
    <w:rsid w:val="001A58B1"/>
    <w:rsid w:val="001B2048"/>
    <w:rsid w:val="001C3DB8"/>
    <w:rsid w:val="001D78A1"/>
    <w:rsid w:val="00200CB7"/>
    <w:rsid w:val="0021074A"/>
    <w:rsid w:val="00216018"/>
    <w:rsid w:val="0028011F"/>
    <w:rsid w:val="0028356A"/>
    <w:rsid w:val="00297401"/>
    <w:rsid w:val="002B7B50"/>
    <w:rsid w:val="002E1B57"/>
    <w:rsid w:val="0031706E"/>
    <w:rsid w:val="003B4AA2"/>
    <w:rsid w:val="003D005E"/>
    <w:rsid w:val="003E2CA6"/>
    <w:rsid w:val="003E452E"/>
    <w:rsid w:val="004750A2"/>
    <w:rsid w:val="00487A22"/>
    <w:rsid w:val="00491F77"/>
    <w:rsid w:val="004A7B1B"/>
    <w:rsid w:val="004F24BC"/>
    <w:rsid w:val="0052203E"/>
    <w:rsid w:val="005322E6"/>
    <w:rsid w:val="005556C6"/>
    <w:rsid w:val="00562F2F"/>
    <w:rsid w:val="005848B8"/>
    <w:rsid w:val="005A1570"/>
    <w:rsid w:val="005A5A87"/>
    <w:rsid w:val="00604F23"/>
    <w:rsid w:val="006643EB"/>
    <w:rsid w:val="006A667F"/>
    <w:rsid w:val="006B2DA6"/>
    <w:rsid w:val="006C0DF5"/>
    <w:rsid w:val="006C519A"/>
    <w:rsid w:val="006F1199"/>
    <w:rsid w:val="006F5420"/>
    <w:rsid w:val="00707EA3"/>
    <w:rsid w:val="00712872"/>
    <w:rsid w:val="00715C62"/>
    <w:rsid w:val="0072164C"/>
    <w:rsid w:val="00764734"/>
    <w:rsid w:val="007A678A"/>
    <w:rsid w:val="007B4EE0"/>
    <w:rsid w:val="007D545C"/>
    <w:rsid w:val="007F7246"/>
    <w:rsid w:val="00822DE1"/>
    <w:rsid w:val="00822F8E"/>
    <w:rsid w:val="00891423"/>
    <w:rsid w:val="008A7BDD"/>
    <w:rsid w:val="008B003C"/>
    <w:rsid w:val="008D71E9"/>
    <w:rsid w:val="008E67CB"/>
    <w:rsid w:val="0091041C"/>
    <w:rsid w:val="00932851"/>
    <w:rsid w:val="00944686"/>
    <w:rsid w:val="009678DE"/>
    <w:rsid w:val="009765DB"/>
    <w:rsid w:val="00976B77"/>
    <w:rsid w:val="00987AA6"/>
    <w:rsid w:val="009B0697"/>
    <w:rsid w:val="009B5159"/>
    <w:rsid w:val="009D3CD0"/>
    <w:rsid w:val="009F1B6F"/>
    <w:rsid w:val="00A25EB0"/>
    <w:rsid w:val="00A41FDA"/>
    <w:rsid w:val="00A442D1"/>
    <w:rsid w:val="00A65B6F"/>
    <w:rsid w:val="00AB2BB0"/>
    <w:rsid w:val="00AB5FB7"/>
    <w:rsid w:val="00AB7147"/>
    <w:rsid w:val="00AD5635"/>
    <w:rsid w:val="00AE199F"/>
    <w:rsid w:val="00B255B3"/>
    <w:rsid w:val="00B30F0B"/>
    <w:rsid w:val="00B43C54"/>
    <w:rsid w:val="00B504F7"/>
    <w:rsid w:val="00B56CCE"/>
    <w:rsid w:val="00B56F3A"/>
    <w:rsid w:val="00B74C53"/>
    <w:rsid w:val="00B81B18"/>
    <w:rsid w:val="00BA3163"/>
    <w:rsid w:val="00BC24ED"/>
    <w:rsid w:val="00BC5FC8"/>
    <w:rsid w:val="00C25583"/>
    <w:rsid w:val="00C75298"/>
    <w:rsid w:val="00C75A1C"/>
    <w:rsid w:val="00C87572"/>
    <w:rsid w:val="00CA3B14"/>
    <w:rsid w:val="00CC0AF4"/>
    <w:rsid w:val="00CC0D88"/>
    <w:rsid w:val="00CD7B5F"/>
    <w:rsid w:val="00CE5958"/>
    <w:rsid w:val="00CE6571"/>
    <w:rsid w:val="00D3061A"/>
    <w:rsid w:val="00D55197"/>
    <w:rsid w:val="00D73F1C"/>
    <w:rsid w:val="00D75DA2"/>
    <w:rsid w:val="00D7747E"/>
    <w:rsid w:val="00DC6611"/>
    <w:rsid w:val="00DE4417"/>
    <w:rsid w:val="00DF3697"/>
    <w:rsid w:val="00E127E9"/>
    <w:rsid w:val="00E12A39"/>
    <w:rsid w:val="00E32F3B"/>
    <w:rsid w:val="00E71B0C"/>
    <w:rsid w:val="00E8199D"/>
    <w:rsid w:val="00E87C8C"/>
    <w:rsid w:val="00E9478E"/>
    <w:rsid w:val="00E97293"/>
    <w:rsid w:val="00EA5EB4"/>
    <w:rsid w:val="00EC6FE3"/>
    <w:rsid w:val="00ED5F2B"/>
    <w:rsid w:val="00F30A57"/>
    <w:rsid w:val="00F52C19"/>
    <w:rsid w:val="00FD0C4A"/>
    <w:rsid w:val="00FF1AFB"/>
    <w:rsid w:val="00FF6B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67CB"/>
    <w:rPr>
      <w:rFonts w:ascii="Arial" w:hAnsi="Arial"/>
      <w:sz w:val="22"/>
      <w:szCs w:val="24"/>
      <w:lang w:eastAsia="en-US"/>
    </w:rPr>
  </w:style>
  <w:style w:type="paragraph" w:styleId="Heading1">
    <w:name w:val="heading 1"/>
    <w:aliases w:val="Centre"/>
    <w:basedOn w:val="Normal"/>
    <w:next w:val="Normal"/>
    <w:qFormat/>
    <w:rsid w:val="00200CB7"/>
    <w:pPr>
      <w:keepNext/>
      <w:jc w:val="center"/>
      <w:outlineLvl w:val="0"/>
    </w:pPr>
    <w:rPr>
      <w:rFonts w:cs="Arial"/>
      <w:b/>
      <w:bCs/>
      <w:caps/>
      <w:kern w:val="32"/>
      <w:sz w:val="28"/>
      <w:szCs w:val="32"/>
    </w:rPr>
  </w:style>
  <w:style w:type="paragraph" w:styleId="Heading2">
    <w:name w:val="heading 2"/>
    <w:aliases w:val="Left"/>
    <w:basedOn w:val="Normal"/>
    <w:next w:val="Normal"/>
    <w:qFormat/>
    <w:rsid w:val="00CE6571"/>
    <w:pPr>
      <w:keepNext/>
      <w:outlineLvl w:val="1"/>
    </w:pPr>
    <w:rPr>
      <w:rFonts w:cs="Arial"/>
      <w:b/>
      <w:bCs/>
      <w:iCs/>
      <w:caps/>
      <w:szCs w:val="28"/>
    </w:rPr>
  </w:style>
  <w:style w:type="paragraph" w:styleId="Heading3">
    <w:name w:val="heading 3"/>
    <w:aliases w:val="Sub"/>
    <w:basedOn w:val="Normal"/>
    <w:next w:val="Normal"/>
    <w:qFormat/>
    <w:rsid w:val="00CE6571"/>
    <w:pPr>
      <w:keepNext/>
      <w:outlineLvl w:val="2"/>
    </w:pPr>
    <w:rPr>
      <w:rFonts w:cs="Arial"/>
      <w:b/>
      <w:bCs/>
      <w:szCs w:val="26"/>
    </w:rPr>
  </w:style>
  <w:style w:type="paragraph" w:styleId="Heading4">
    <w:name w:val="heading 4"/>
    <w:basedOn w:val="Normal"/>
    <w:next w:val="Normal"/>
    <w:qFormat/>
    <w:rsid w:val="00CE6571"/>
    <w:pPr>
      <w:keepNext/>
      <w:spacing w:before="240" w:after="60"/>
      <w:outlineLvl w:val="3"/>
    </w:pPr>
    <w:rPr>
      <w:rFonts w:ascii="Times New Roman" w:hAnsi="Times New Roman"/>
      <w:b/>
      <w:bCs/>
      <w:sz w:val="28"/>
      <w:szCs w:val="28"/>
    </w:rPr>
  </w:style>
  <w:style w:type="paragraph" w:styleId="Heading5">
    <w:name w:val="heading 5"/>
    <w:basedOn w:val="Normal"/>
    <w:next w:val="Normal"/>
    <w:qFormat/>
    <w:rsid w:val="00CE6571"/>
    <w:pPr>
      <w:numPr>
        <w:ilvl w:val="4"/>
        <w:numId w:val="12"/>
      </w:numPr>
      <w:spacing w:before="240" w:after="60"/>
      <w:outlineLvl w:val="4"/>
    </w:pPr>
    <w:rPr>
      <w:b/>
      <w:bCs/>
      <w:i/>
      <w:iCs/>
      <w:sz w:val="26"/>
      <w:szCs w:val="26"/>
    </w:rPr>
  </w:style>
  <w:style w:type="paragraph" w:styleId="Heading6">
    <w:name w:val="heading 6"/>
    <w:basedOn w:val="Normal"/>
    <w:next w:val="Normal"/>
    <w:qFormat/>
    <w:rsid w:val="00CE6571"/>
    <w:pPr>
      <w:numPr>
        <w:ilvl w:val="5"/>
        <w:numId w:val="12"/>
      </w:numPr>
      <w:spacing w:before="240" w:after="60"/>
      <w:outlineLvl w:val="5"/>
    </w:pPr>
    <w:rPr>
      <w:rFonts w:ascii="Times New Roman" w:hAnsi="Times New Roman"/>
      <w:b/>
      <w:bCs/>
      <w:szCs w:val="22"/>
    </w:rPr>
  </w:style>
  <w:style w:type="paragraph" w:styleId="Heading7">
    <w:name w:val="heading 7"/>
    <w:basedOn w:val="Normal"/>
    <w:next w:val="Normal"/>
    <w:qFormat/>
    <w:rsid w:val="00CE6571"/>
    <w:pPr>
      <w:numPr>
        <w:ilvl w:val="6"/>
        <w:numId w:val="12"/>
      </w:numPr>
      <w:spacing w:before="240" w:after="60"/>
      <w:outlineLvl w:val="6"/>
    </w:pPr>
    <w:rPr>
      <w:rFonts w:ascii="Times New Roman" w:hAnsi="Times New Roman"/>
      <w:sz w:val="24"/>
    </w:rPr>
  </w:style>
  <w:style w:type="paragraph" w:styleId="Heading8">
    <w:name w:val="heading 8"/>
    <w:basedOn w:val="Normal"/>
    <w:next w:val="Normal"/>
    <w:qFormat/>
    <w:rsid w:val="00CE6571"/>
    <w:pPr>
      <w:numPr>
        <w:ilvl w:val="7"/>
        <w:numId w:val="12"/>
      </w:numPr>
      <w:spacing w:before="240" w:after="60"/>
      <w:outlineLvl w:val="7"/>
    </w:pPr>
    <w:rPr>
      <w:rFonts w:ascii="Times New Roman" w:hAnsi="Times New Roman"/>
      <w:i/>
      <w:iCs/>
      <w:sz w:val="24"/>
    </w:rPr>
  </w:style>
  <w:style w:type="paragraph" w:styleId="Heading9">
    <w:name w:val="heading 9"/>
    <w:basedOn w:val="Normal"/>
    <w:next w:val="Normal"/>
    <w:qFormat/>
    <w:rsid w:val="00CE6571"/>
    <w:pPr>
      <w:numPr>
        <w:ilvl w:val="8"/>
        <w:numId w:val="12"/>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87A22"/>
    <w:pPr>
      <w:tabs>
        <w:tab w:val="center" w:pos="4153"/>
        <w:tab w:val="right" w:pos="8306"/>
      </w:tabs>
    </w:pPr>
  </w:style>
  <w:style w:type="table" w:styleId="TableGrid">
    <w:name w:val="Table Grid"/>
    <w:basedOn w:val="TableNormal"/>
    <w:rsid w:val="00131EC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Pr>
  </w:style>
  <w:style w:type="paragraph" w:styleId="Footer">
    <w:name w:val="footer"/>
    <w:basedOn w:val="Normal"/>
    <w:rsid w:val="00487A22"/>
    <w:pPr>
      <w:tabs>
        <w:tab w:val="center" w:pos="4153"/>
        <w:tab w:val="right" w:pos="8306"/>
      </w:tabs>
    </w:pPr>
  </w:style>
  <w:style w:type="paragraph" w:customStyle="1" w:styleId="TSHeadingNumbered1">
    <w:name w:val="TS Heading Numbered 1."/>
    <w:basedOn w:val="Normal"/>
    <w:rsid w:val="00E32F3B"/>
    <w:pPr>
      <w:numPr>
        <w:numId w:val="12"/>
      </w:numPr>
      <w:spacing w:after="220"/>
      <w:outlineLvl w:val="0"/>
    </w:pPr>
    <w:rPr>
      <w:rFonts w:ascii="Arial Bold" w:hAnsi="Arial Bold"/>
      <w:b/>
      <w:caps/>
    </w:rPr>
  </w:style>
  <w:style w:type="paragraph" w:customStyle="1" w:styleId="TSHeadingNumbered11">
    <w:name w:val="TS Heading Numbered 1.1"/>
    <w:basedOn w:val="TSHeadingNumbered1"/>
    <w:rsid w:val="00CE6571"/>
    <w:pPr>
      <w:numPr>
        <w:ilvl w:val="1"/>
      </w:numPr>
    </w:pPr>
  </w:style>
  <w:style w:type="paragraph" w:customStyle="1" w:styleId="TSHeadingNumbered111">
    <w:name w:val="TS Heading Numbered 1.1.1"/>
    <w:basedOn w:val="TSHeadingNumbered1"/>
    <w:rsid w:val="00CE6571"/>
    <w:pPr>
      <w:numPr>
        <w:ilvl w:val="2"/>
      </w:numPr>
    </w:pPr>
  </w:style>
  <w:style w:type="paragraph" w:customStyle="1" w:styleId="TSHeadingNumbered1111">
    <w:name w:val="TS Heading Numbered 1.1.1.1"/>
    <w:basedOn w:val="TSHeadingNumbered1"/>
    <w:rsid w:val="00CE6571"/>
    <w:pPr>
      <w:numPr>
        <w:ilvl w:val="3"/>
      </w:numPr>
    </w:pPr>
  </w:style>
  <w:style w:type="character" w:styleId="Hyperlink">
    <w:name w:val="Hyperlink"/>
    <w:rsid w:val="009B5159"/>
    <w:rPr>
      <w:color w:val="0000FF"/>
      <w:u w:val="single"/>
    </w:rPr>
  </w:style>
  <w:style w:type="paragraph" w:customStyle="1" w:styleId="TSNumberedParagraph11">
    <w:name w:val="TS Numbered Paragraph 1.1"/>
    <w:basedOn w:val="TSHeadingNumbered11"/>
    <w:rsid w:val="00E32F3B"/>
    <w:rPr>
      <w:rFonts w:ascii="Arial" w:hAnsi="Arial"/>
      <w:b w:val="0"/>
      <w:caps w:val="0"/>
    </w:rPr>
  </w:style>
  <w:style w:type="character" w:customStyle="1" w:styleId="TSExampleText">
    <w:name w:val="TS Example Text"/>
    <w:rsid w:val="009B5159"/>
    <w:rPr>
      <w:i/>
      <w:iCs/>
      <w:color w:val="006D68"/>
    </w:rPr>
  </w:style>
  <w:style w:type="paragraph" w:styleId="TOC1">
    <w:name w:val="toc 1"/>
    <w:basedOn w:val="Normal"/>
    <w:next w:val="Normal"/>
    <w:autoRedefine/>
    <w:semiHidden/>
    <w:rsid w:val="00E32F3B"/>
    <w:pPr>
      <w:tabs>
        <w:tab w:val="left" w:pos="360"/>
        <w:tab w:val="right" w:leader="dot" w:pos="9180"/>
      </w:tabs>
      <w:ind w:left="360" w:hanging="360"/>
    </w:pPr>
    <w:rPr>
      <w:caps/>
    </w:rPr>
  </w:style>
  <w:style w:type="paragraph" w:customStyle="1" w:styleId="TSBullet1Square">
    <w:name w:val="TS Bullet 1 Square"/>
    <w:basedOn w:val="Normal"/>
    <w:rsid w:val="00B504F7"/>
    <w:pPr>
      <w:numPr>
        <w:numId w:val="16"/>
      </w:numPr>
      <w:spacing w:after="240"/>
      <w:contextualSpacing/>
    </w:pPr>
  </w:style>
  <w:style w:type="paragraph" w:customStyle="1" w:styleId="TSBullet2Circle">
    <w:name w:val="TS Bullet 2 Circle"/>
    <w:basedOn w:val="TSBullet1Square"/>
    <w:rsid w:val="00B504F7"/>
    <w:pPr>
      <w:numPr>
        <w:numId w:val="17"/>
      </w:numPr>
    </w:pPr>
  </w:style>
  <w:style w:type="paragraph" w:customStyle="1" w:styleId="TSNumberedParagraph1">
    <w:name w:val="TS Numbered Paragraph 1"/>
    <w:basedOn w:val="TSNumberedParagraph11"/>
    <w:rsid w:val="00E97293"/>
    <w:pPr>
      <w:numPr>
        <w:ilvl w:val="0"/>
        <w:numId w:val="0"/>
      </w:numPr>
      <w:tabs>
        <w:tab w:val="num" w:pos="-31680"/>
      </w:tabs>
      <w:ind w:left="720" w:hanging="720"/>
    </w:pPr>
  </w:style>
  <w:style w:type="paragraph" w:styleId="DocumentMap">
    <w:name w:val="Document Map"/>
    <w:basedOn w:val="Normal"/>
    <w:semiHidden/>
    <w:rsid w:val="00E32F3B"/>
    <w:pPr>
      <w:shd w:val="clear" w:color="auto" w:fill="000080"/>
    </w:pPr>
    <w:rPr>
      <w:rFonts w:ascii="Tahoma" w:hAnsi="Tahoma" w:cs="Tahoma"/>
      <w:sz w:val="20"/>
      <w:szCs w:val="20"/>
    </w:rPr>
  </w:style>
  <w:style w:type="paragraph" w:customStyle="1" w:styleId="StyleTSNumberedParagraph11Justified">
    <w:name w:val="Style TS Numbered Paragraph 1.1 + Justified"/>
    <w:basedOn w:val="TSNumberedParagraph11"/>
    <w:rsid w:val="00E32F3B"/>
    <w:pPr>
      <w:jc w:val="both"/>
    </w:pPr>
    <w:rPr>
      <w:szCs w:val="20"/>
    </w:rPr>
  </w:style>
  <w:style w:type="character" w:customStyle="1" w:styleId="HeaderChar">
    <w:name w:val="Header Char"/>
    <w:link w:val="Header"/>
    <w:locked/>
    <w:rsid w:val="007D545C"/>
    <w:rPr>
      <w:rFonts w:ascii="Arial" w:hAnsi="Arial"/>
      <w:sz w:val="22"/>
      <w:szCs w:val="24"/>
      <w:lang w:val="en-GB" w:eastAsia="en-US" w:bidi="ar-SA"/>
    </w:rPr>
  </w:style>
  <w:style w:type="character" w:styleId="CommentReference">
    <w:name w:val="annotation reference"/>
    <w:rsid w:val="00AE199F"/>
    <w:rPr>
      <w:sz w:val="16"/>
      <w:szCs w:val="16"/>
    </w:rPr>
  </w:style>
  <w:style w:type="paragraph" w:styleId="CommentText">
    <w:name w:val="annotation text"/>
    <w:basedOn w:val="Normal"/>
    <w:link w:val="CommentTextChar"/>
    <w:rsid w:val="00AE199F"/>
    <w:rPr>
      <w:sz w:val="20"/>
      <w:szCs w:val="20"/>
    </w:rPr>
  </w:style>
  <w:style w:type="character" w:customStyle="1" w:styleId="CommentTextChar">
    <w:name w:val="Comment Text Char"/>
    <w:link w:val="CommentText"/>
    <w:rsid w:val="00AE199F"/>
    <w:rPr>
      <w:rFonts w:ascii="Arial" w:hAnsi="Arial"/>
      <w:lang w:eastAsia="en-US"/>
    </w:rPr>
  </w:style>
  <w:style w:type="paragraph" w:styleId="CommentSubject">
    <w:name w:val="annotation subject"/>
    <w:basedOn w:val="CommentText"/>
    <w:next w:val="CommentText"/>
    <w:link w:val="CommentSubjectChar"/>
    <w:rsid w:val="00AE199F"/>
    <w:rPr>
      <w:b/>
      <w:bCs/>
    </w:rPr>
  </w:style>
  <w:style w:type="character" w:customStyle="1" w:styleId="CommentSubjectChar">
    <w:name w:val="Comment Subject Char"/>
    <w:link w:val="CommentSubject"/>
    <w:rsid w:val="00AE199F"/>
    <w:rPr>
      <w:rFonts w:ascii="Arial" w:hAnsi="Arial"/>
      <w:b/>
      <w:bCs/>
      <w:lang w:eastAsia="en-US"/>
    </w:rPr>
  </w:style>
  <w:style w:type="paragraph" w:styleId="BalloonText">
    <w:name w:val="Balloon Text"/>
    <w:basedOn w:val="Normal"/>
    <w:link w:val="BalloonTextChar"/>
    <w:rsid w:val="00AE199F"/>
    <w:rPr>
      <w:rFonts w:ascii="Tahoma" w:hAnsi="Tahoma" w:cs="Tahoma"/>
      <w:sz w:val="16"/>
      <w:szCs w:val="16"/>
    </w:rPr>
  </w:style>
  <w:style w:type="character" w:customStyle="1" w:styleId="BalloonTextChar">
    <w:name w:val="Balloon Text Char"/>
    <w:link w:val="BalloonText"/>
    <w:rsid w:val="00AE199F"/>
    <w:rPr>
      <w:rFonts w:ascii="Tahoma" w:hAnsi="Tahoma" w:cs="Tahoma"/>
      <w:sz w:val="16"/>
      <w:szCs w:val="16"/>
      <w:lang w:eastAsia="en-US"/>
    </w:rPr>
  </w:style>
  <w:style w:type="paragraph" w:styleId="ListParagraph">
    <w:name w:val="List Paragraph"/>
    <w:basedOn w:val="Normal"/>
    <w:uiPriority w:val="34"/>
    <w:qFormat/>
    <w:rsid w:val="00D75DA2"/>
    <w:pPr>
      <w:ind w:left="720"/>
      <w:contextualSpacing/>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67CB"/>
    <w:rPr>
      <w:rFonts w:ascii="Arial" w:hAnsi="Arial"/>
      <w:sz w:val="22"/>
      <w:szCs w:val="24"/>
      <w:lang w:eastAsia="en-US"/>
    </w:rPr>
  </w:style>
  <w:style w:type="paragraph" w:styleId="Heading1">
    <w:name w:val="heading 1"/>
    <w:aliases w:val="Centre"/>
    <w:basedOn w:val="Normal"/>
    <w:next w:val="Normal"/>
    <w:qFormat/>
    <w:rsid w:val="00200CB7"/>
    <w:pPr>
      <w:keepNext/>
      <w:jc w:val="center"/>
      <w:outlineLvl w:val="0"/>
    </w:pPr>
    <w:rPr>
      <w:rFonts w:cs="Arial"/>
      <w:b/>
      <w:bCs/>
      <w:caps/>
      <w:kern w:val="32"/>
      <w:sz w:val="28"/>
      <w:szCs w:val="32"/>
    </w:rPr>
  </w:style>
  <w:style w:type="paragraph" w:styleId="Heading2">
    <w:name w:val="heading 2"/>
    <w:aliases w:val="Left"/>
    <w:basedOn w:val="Normal"/>
    <w:next w:val="Normal"/>
    <w:qFormat/>
    <w:rsid w:val="00CE6571"/>
    <w:pPr>
      <w:keepNext/>
      <w:outlineLvl w:val="1"/>
    </w:pPr>
    <w:rPr>
      <w:rFonts w:cs="Arial"/>
      <w:b/>
      <w:bCs/>
      <w:iCs/>
      <w:caps/>
      <w:szCs w:val="28"/>
    </w:rPr>
  </w:style>
  <w:style w:type="paragraph" w:styleId="Heading3">
    <w:name w:val="heading 3"/>
    <w:aliases w:val="Sub"/>
    <w:basedOn w:val="Normal"/>
    <w:next w:val="Normal"/>
    <w:qFormat/>
    <w:rsid w:val="00CE6571"/>
    <w:pPr>
      <w:keepNext/>
      <w:outlineLvl w:val="2"/>
    </w:pPr>
    <w:rPr>
      <w:rFonts w:cs="Arial"/>
      <w:b/>
      <w:bCs/>
      <w:szCs w:val="26"/>
    </w:rPr>
  </w:style>
  <w:style w:type="paragraph" w:styleId="Heading4">
    <w:name w:val="heading 4"/>
    <w:basedOn w:val="Normal"/>
    <w:next w:val="Normal"/>
    <w:qFormat/>
    <w:rsid w:val="00CE6571"/>
    <w:pPr>
      <w:keepNext/>
      <w:spacing w:before="240" w:after="60"/>
      <w:outlineLvl w:val="3"/>
    </w:pPr>
    <w:rPr>
      <w:rFonts w:ascii="Times New Roman" w:hAnsi="Times New Roman"/>
      <w:b/>
      <w:bCs/>
      <w:sz w:val="28"/>
      <w:szCs w:val="28"/>
    </w:rPr>
  </w:style>
  <w:style w:type="paragraph" w:styleId="Heading5">
    <w:name w:val="heading 5"/>
    <w:basedOn w:val="Normal"/>
    <w:next w:val="Normal"/>
    <w:qFormat/>
    <w:rsid w:val="00CE6571"/>
    <w:pPr>
      <w:numPr>
        <w:ilvl w:val="4"/>
        <w:numId w:val="12"/>
      </w:numPr>
      <w:spacing w:before="240" w:after="60"/>
      <w:outlineLvl w:val="4"/>
    </w:pPr>
    <w:rPr>
      <w:b/>
      <w:bCs/>
      <w:i/>
      <w:iCs/>
      <w:sz w:val="26"/>
      <w:szCs w:val="26"/>
    </w:rPr>
  </w:style>
  <w:style w:type="paragraph" w:styleId="Heading6">
    <w:name w:val="heading 6"/>
    <w:basedOn w:val="Normal"/>
    <w:next w:val="Normal"/>
    <w:qFormat/>
    <w:rsid w:val="00CE6571"/>
    <w:pPr>
      <w:numPr>
        <w:ilvl w:val="5"/>
        <w:numId w:val="12"/>
      </w:numPr>
      <w:spacing w:before="240" w:after="60"/>
      <w:outlineLvl w:val="5"/>
    </w:pPr>
    <w:rPr>
      <w:rFonts w:ascii="Times New Roman" w:hAnsi="Times New Roman"/>
      <w:b/>
      <w:bCs/>
      <w:szCs w:val="22"/>
    </w:rPr>
  </w:style>
  <w:style w:type="paragraph" w:styleId="Heading7">
    <w:name w:val="heading 7"/>
    <w:basedOn w:val="Normal"/>
    <w:next w:val="Normal"/>
    <w:qFormat/>
    <w:rsid w:val="00CE6571"/>
    <w:pPr>
      <w:numPr>
        <w:ilvl w:val="6"/>
        <w:numId w:val="12"/>
      </w:numPr>
      <w:spacing w:before="240" w:after="60"/>
      <w:outlineLvl w:val="6"/>
    </w:pPr>
    <w:rPr>
      <w:rFonts w:ascii="Times New Roman" w:hAnsi="Times New Roman"/>
      <w:sz w:val="24"/>
    </w:rPr>
  </w:style>
  <w:style w:type="paragraph" w:styleId="Heading8">
    <w:name w:val="heading 8"/>
    <w:basedOn w:val="Normal"/>
    <w:next w:val="Normal"/>
    <w:qFormat/>
    <w:rsid w:val="00CE6571"/>
    <w:pPr>
      <w:numPr>
        <w:ilvl w:val="7"/>
        <w:numId w:val="12"/>
      </w:numPr>
      <w:spacing w:before="240" w:after="60"/>
      <w:outlineLvl w:val="7"/>
    </w:pPr>
    <w:rPr>
      <w:rFonts w:ascii="Times New Roman" w:hAnsi="Times New Roman"/>
      <w:i/>
      <w:iCs/>
      <w:sz w:val="24"/>
    </w:rPr>
  </w:style>
  <w:style w:type="paragraph" w:styleId="Heading9">
    <w:name w:val="heading 9"/>
    <w:basedOn w:val="Normal"/>
    <w:next w:val="Normal"/>
    <w:qFormat/>
    <w:rsid w:val="00CE6571"/>
    <w:pPr>
      <w:numPr>
        <w:ilvl w:val="8"/>
        <w:numId w:val="12"/>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87A22"/>
    <w:pPr>
      <w:tabs>
        <w:tab w:val="center" w:pos="4153"/>
        <w:tab w:val="right" w:pos="8306"/>
      </w:tabs>
    </w:pPr>
  </w:style>
  <w:style w:type="table" w:styleId="TableGrid">
    <w:name w:val="Table Grid"/>
    <w:basedOn w:val="TableNormal"/>
    <w:rsid w:val="00131EC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Pr>
  </w:style>
  <w:style w:type="paragraph" w:styleId="Footer">
    <w:name w:val="footer"/>
    <w:basedOn w:val="Normal"/>
    <w:rsid w:val="00487A22"/>
    <w:pPr>
      <w:tabs>
        <w:tab w:val="center" w:pos="4153"/>
        <w:tab w:val="right" w:pos="8306"/>
      </w:tabs>
    </w:pPr>
  </w:style>
  <w:style w:type="paragraph" w:customStyle="1" w:styleId="TSHeadingNumbered1">
    <w:name w:val="TS Heading Numbered 1."/>
    <w:basedOn w:val="Normal"/>
    <w:rsid w:val="00E32F3B"/>
    <w:pPr>
      <w:numPr>
        <w:numId w:val="12"/>
      </w:numPr>
      <w:spacing w:after="220"/>
      <w:outlineLvl w:val="0"/>
    </w:pPr>
    <w:rPr>
      <w:rFonts w:ascii="Arial Bold" w:hAnsi="Arial Bold"/>
      <w:b/>
      <w:caps/>
    </w:rPr>
  </w:style>
  <w:style w:type="paragraph" w:customStyle="1" w:styleId="TSHeadingNumbered11">
    <w:name w:val="TS Heading Numbered 1.1"/>
    <w:basedOn w:val="TSHeadingNumbered1"/>
    <w:rsid w:val="00CE6571"/>
    <w:pPr>
      <w:numPr>
        <w:ilvl w:val="1"/>
      </w:numPr>
    </w:pPr>
  </w:style>
  <w:style w:type="paragraph" w:customStyle="1" w:styleId="TSHeadingNumbered111">
    <w:name w:val="TS Heading Numbered 1.1.1"/>
    <w:basedOn w:val="TSHeadingNumbered1"/>
    <w:rsid w:val="00CE6571"/>
    <w:pPr>
      <w:numPr>
        <w:ilvl w:val="2"/>
      </w:numPr>
    </w:pPr>
  </w:style>
  <w:style w:type="paragraph" w:customStyle="1" w:styleId="TSHeadingNumbered1111">
    <w:name w:val="TS Heading Numbered 1.1.1.1"/>
    <w:basedOn w:val="TSHeadingNumbered1"/>
    <w:rsid w:val="00CE6571"/>
    <w:pPr>
      <w:numPr>
        <w:ilvl w:val="3"/>
      </w:numPr>
    </w:pPr>
  </w:style>
  <w:style w:type="character" w:styleId="Hyperlink">
    <w:name w:val="Hyperlink"/>
    <w:rsid w:val="009B5159"/>
    <w:rPr>
      <w:color w:val="0000FF"/>
      <w:u w:val="single"/>
    </w:rPr>
  </w:style>
  <w:style w:type="paragraph" w:customStyle="1" w:styleId="TSNumberedParagraph11">
    <w:name w:val="TS Numbered Paragraph 1.1"/>
    <w:basedOn w:val="TSHeadingNumbered11"/>
    <w:rsid w:val="00E32F3B"/>
    <w:rPr>
      <w:rFonts w:ascii="Arial" w:hAnsi="Arial"/>
      <w:b w:val="0"/>
      <w:caps w:val="0"/>
    </w:rPr>
  </w:style>
  <w:style w:type="character" w:customStyle="1" w:styleId="TSExampleText">
    <w:name w:val="TS Example Text"/>
    <w:rsid w:val="009B5159"/>
    <w:rPr>
      <w:i/>
      <w:iCs/>
      <w:color w:val="006D68"/>
    </w:rPr>
  </w:style>
  <w:style w:type="paragraph" w:styleId="TOC1">
    <w:name w:val="toc 1"/>
    <w:basedOn w:val="Normal"/>
    <w:next w:val="Normal"/>
    <w:autoRedefine/>
    <w:semiHidden/>
    <w:rsid w:val="00E32F3B"/>
    <w:pPr>
      <w:tabs>
        <w:tab w:val="left" w:pos="360"/>
        <w:tab w:val="right" w:leader="dot" w:pos="9180"/>
      </w:tabs>
      <w:ind w:left="360" w:hanging="360"/>
    </w:pPr>
    <w:rPr>
      <w:caps/>
    </w:rPr>
  </w:style>
  <w:style w:type="paragraph" w:customStyle="1" w:styleId="TSBullet1Square">
    <w:name w:val="TS Bullet 1 Square"/>
    <w:basedOn w:val="Normal"/>
    <w:rsid w:val="00B504F7"/>
    <w:pPr>
      <w:numPr>
        <w:numId w:val="16"/>
      </w:numPr>
      <w:spacing w:after="240"/>
      <w:contextualSpacing/>
    </w:pPr>
  </w:style>
  <w:style w:type="paragraph" w:customStyle="1" w:styleId="TSBullet2Circle">
    <w:name w:val="TS Bullet 2 Circle"/>
    <w:basedOn w:val="TSBullet1Square"/>
    <w:rsid w:val="00B504F7"/>
    <w:pPr>
      <w:numPr>
        <w:numId w:val="17"/>
      </w:numPr>
    </w:pPr>
  </w:style>
  <w:style w:type="paragraph" w:customStyle="1" w:styleId="TSNumberedParagraph1">
    <w:name w:val="TS Numbered Paragraph 1"/>
    <w:basedOn w:val="TSNumberedParagraph11"/>
    <w:rsid w:val="00E97293"/>
    <w:pPr>
      <w:numPr>
        <w:ilvl w:val="0"/>
        <w:numId w:val="0"/>
      </w:numPr>
      <w:tabs>
        <w:tab w:val="num" w:pos="-31680"/>
      </w:tabs>
      <w:ind w:left="720" w:hanging="720"/>
    </w:pPr>
  </w:style>
  <w:style w:type="paragraph" w:styleId="DocumentMap">
    <w:name w:val="Document Map"/>
    <w:basedOn w:val="Normal"/>
    <w:semiHidden/>
    <w:rsid w:val="00E32F3B"/>
    <w:pPr>
      <w:shd w:val="clear" w:color="auto" w:fill="000080"/>
    </w:pPr>
    <w:rPr>
      <w:rFonts w:ascii="Tahoma" w:hAnsi="Tahoma" w:cs="Tahoma"/>
      <w:sz w:val="20"/>
      <w:szCs w:val="20"/>
    </w:rPr>
  </w:style>
  <w:style w:type="paragraph" w:customStyle="1" w:styleId="StyleTSNumberedParagraph11Justified">
    <w:name w:val="Style TS Numbered Paragraph 1.1 + Justified"/>
    <w:basedOn w:val="TSNumberedParagraph11"/>
    <w:rsid w:val="00E32F3B"/>
    <w:pPr>
      <w:jc w:val="both"/>
    </w:pPr>
    <w:rPr>
      <w:szCs w:val="20"/>
    </w:rPr>
  </w:style>
  <w:style w:type="character" w:customStyle="1" w:styleId="HeaderChar">
    <w:name w:val="Header Char"/>
    <w:link w:val="Header"/>
    <w:locked/>
    <w:rsid w:val="007D545C"/>
    <w:rPr>
      <w:rFonts w:ascii="Arial" w:hAnsi="Arial"/>
      <w:sz w:val="22"/>
      <w:szCs w:val="24"/>
      <w:lang w:val="en-GB" w:eastAsia="en-US" w:bidi="ar-SA"/>
    </w:rPr>
  </w:style>
  <w:style w:type="character" w:styleId="CommentReference">
    <w:name w:val="annotation reference"/>
    <w:rsid w:val="00AE199F"/>
    <w:rPr>
      <w:sz w:val="16"/>
      <w:szCs w:val="16"/>
    </w:rPr>
  </w:style>
  <w:style w:type="paragraph" w:styleId="CommentText">
    <w:name w:val="annotation text"/>
    <w:basedOn w:val="Normal"/>
    <w:link w:val="CommentTextChar"/>
    <w:rsid w:val="00AE199F"/>
    <w:rPr>
      <w:sz w:val="20"/>
      <w:szCs w:val="20"/>
    </w:rPr>
  </w:style>
  <w:style w:type="character" w:customStyle="1" w:styleId="CommentTextChar">
    <w:name w:val="Comment Text Char"/>
    <w:link w:val="CommentText"/>
    <w:rsid w:val="00AE199F"/>
    <w:rPr>
      <w:rFonts w:ascii="Arial" w:hAnsi="Arial"/>
      <w:lang w:eastAsia="en-US"/>
    </w:rPr>
  </w:style>
  <w:style w:type="paragraph" w:styleId="CommentSubject">
    <w:name w:val="annotation subject"/>
    <w:basedOn w:val="CommentText"/>
    <w:next w:val="CommentText"/>
    <w:link w:val="CommentSubjectChar"/>
    <w:rsid w:val="00AE199F"/>
    <w:rPr>
      <w:b/>
      <w:bCs/>
    </w:rPr>
  </w:style>
  <w:style w:type="character" w:customStyle="1" w:styleId="CommentSubjectChar">
    <w:name w:val="Comment Subject Char"/>
    <w:link w:val="CommentSubject"/>
    <w:rsid w:val="00AE199F"/>
    <w:rPr>
      <w:rFonts w:ascii="Arial" w:hAnsi="Arial"/>
      <w:b/>
      <w:bCs/>
      <w:lang w:eastAsia="en-US"/>
    </w:rPr>
  </w:style>
  <w:style w:type="paragraph" w:styleId="BalloonText">
    <w:name w:val="Balloon Text"/>
    <w:basedOn w:val="Normal"/>
    <w:link w:val="BalloonTextChar"/>
    <w:rsid w:val="00AE199F"/>
    <w:rPr>
      <w:rFonts w:ascii="Tahoma" w:hAnsi="Tahoma" w:cs="Tahoma"/>
      <w:sz w:val="16"/>
      <w:szCs w:val="16"/>
    </w:rPr>
  </w:style>
  <w:style w:type="character" w:customStyle="1" w:styleId="BalloonTextChar">
    <w:name w:val="Balloon Text Char"/>
    <w:link w:val="BalloonText"/>
    <w:rsid w:val="00AE199F"/>
    <w:rPr>
      <w:rFonts w:ascii="Tahoma" w:hAnsi="Tahoma" w:cs="Tahoma"/>
      <w:sz w:val="16"/>
      <w:szCs w:val="16"/>
      <w:lang w:eastAsia="en-US"/>
    </w:rPr>
  </w:style>
  <w:style w:type="paragraph" w:styleId="ListParagraph">
    <w:name w:val="List Paragraph"/>
    <w:basedOn w:val="Normal"/>
    <w:uiPriority w:val="34"/>
    <w:qFormat/>
    <w:rsid w:val="00D75DA2"/>
    <w:pPr>
      <w:ind w:left="720"/>
      <w:contextualSpacing/>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863823">
      <w:bodyDiv w:val="1"/>
      <w:marLeft w:val="0"/>
      <w:marRight w:val="0"/>
      <w:marTop w:val="0"/>
      <w:marBottom w:val="0"/>
      <w:divBdr>
        <w:top w:val="none" w:sz="0" w:space="0" w:color="auto"/>
        <w:left w:val="none" w:sz="0" w:space="0" w:color="auto"/>
        <w:bottom w:val="none" w:sz="0" w:space="0" w:color="auto"/>
        <w:right w:val="none" w:sz="0" w:space="0" w:color="auto"/>
      </w:divBdr>
    </w:div>
    <w:div w:id="210728742">
      <w:bodyDiv w:val="1"/>
      <w:marLeft w:val="0"/>
      <w:marRight w:val="0"/>
      <w:marTop w:val="0"/>
      <w:marBottom w:val="0"/>
      <w:divBdr>
        <w:top w:val="none" w:sz="0" w:space="0" w:color="auto"/>
        <w:left w:val="none" w:sz="0" w:space="0" w:color="auto"/>
        <w:bottom w:val="none" w:sz="0" w:space="0" w:color="auto"/>
        <w:right w:val="none" w:sz="0" w:space="0" w:color="auto"/>
      </w:divBdr>
    </w:div>
    <w:div w:id="267662436">
      <w:bodyDiv w:val="1"/>
      <w:marLeft w:val="0"/>
      <w:marRight w:val="0"/>
      <w:marTop w:val="0"/>
      <w:marBottom w:val="0"/>
      <w:divBdr>
        <w:top w:val="none" w:sz="0" w:space="0" w:color="auto"/>
        <w:left w:val="none" w:sz="0" w:space="0" w:color="auto"/>
        <w:bottom w:val="none" w:sz="0" w:space="0" w:color="auto"/>
        <w:right w:val="none" w:sz="0" w:space="0" w:color="auto"/>
      </w:divBdr>
    </w:div>
    <w:div w:id="340084345">
      <w:bodyDiv w:val="1"/>
      <w:marLeft w:val="0"/>
      <w:marRight w:val="0"/>
      <w:marTop w:val="0"/>
      <w:marBottom w:val="0"/>
      <w:divBdr>
        <w:top w:val="none" w:sz="0" w:space="0" w:color="auto"/>
        <w:left w:val="none" w:sz="0" w:space="0" w:color="auto"/>
        <w:bottom w:val="none" w:sz="0" w:space="0" w:color="auto"/>
        <w:right w:val="none" w:sz="0" w:space="0" w:color="auto"/>
      </w:divBdr>
    </w:div>
    <w:div w:id="1267886219">
      <w:bodyDiv w:val="1"/>
      <w:marLeft w:val="0"/>
      <w:marRight w:val="0"/>
      <w:marTop w:val="0"/>
      <w:marBottom w:val="0"/>
      <w:divBdr>
        <w:top w:val="none" w:sz="0" w:space="0" w:color="auto"/>
        <w:left w:val="none" w:sz="0" w:space="0" w:color="auto"/>
        <w:bottom w:val="none" w:sz="0" w:space="0" w:color="auto"/>
        <w:right w:val="none" w:sz="0" w:space="0" w:color="auto"/>
      </w:divBdr>
    </w:div>
    <w:div w:id="1628513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cfpub.epa.gov/safewater/radionuclides/radionuclides.cfm?action=Rad_Ion%20Exchange"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s://cfpub.epa.gov/si/si_public_record_Report.cfm?dirEntryId=209509&amp;CFID=44198494&amp;CFTOKEN=10262422"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world-nuclear-news.org/WR-French-soil-decontamination-tested-in-Fukushima-1304184.html"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tergeoconsulting.co.uk/project/chlorinated-solvents-enhanced-monitored-natural-attenuation-remediation-case-study/"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www.world-nuclear-news.org/RS-Fukushima-Daiichi-ice-wall-equipment-in-place-1002165.html" TargetMode="External"/><Relationship Id="rId23" Type="http://schemas.openxmlformats.org/officeDocument/2006/relationships/fontTable" Target="fontTable.xml"/><Relationship Id="rId10" Type="http://schemas.openxmlformats.org/officeDocument/2006/relationships/hyperlink" Target="http://www.tepco.co.jp/en/press/corp-com/release/betu17_e/images/170210e0101.pdf"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nuclearsolutions.veolia.com/en/our-expertise/case-studies/sellafield-uk" TargetMode="External"/><Relationship Id="rId22"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596D2-1748-4FDD-B973-9BC700560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1977</Words>
  <Characters>12009</Characters>
  <Application>Microsoft Office Word</Application>
  <DocSecurity>4</DocSecurity>
  <Lines>205</Lines>
  <Paragraphs>70</Paragraphs>
  <ScaleCrop>false</ScaleCrop>
  <HeadingPairs>
    <vt:vector size="2" baseType="variant">
      <vt:variant>
        <vt:lpstr>Title</vt:lpstr>
      </vt:variant>
      <vt:variant>
        <vt:i4>1</vt:i4>
      </vt:variant>
    </vt:vector>
  </HeadingPairs>
  <TitlesOfParts>
    <vt:vector size="1" baseType="lpstr">
      <vt:lpstr>Document Type:</vt:lpstr>
    </vt:vector>
  </TitlesOfParts>
  <Company>Health and Safety Executive</Company>
  <LinksUpToDate>false</LinksUpToDate>
  <CharactersWithSpaces>13948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Type:</dc:title>
  <dc:creator>Pam Paul</dc:creator>
  <cp:lastModifiedBy>Name</cp:lastModifiedBy>
  <cp:revision>2</cp:revision>
  <cp:lastPrinted>2018-07-18T12:56:00Z</cp:lastPrinted>
  <dcterms:created xsi:type="dcterms:W3CDTF">2018-11-06T10:37:00Z</dcterms:created>
  <dcterms:modified xsi:type="dcterms:W3CDTF">2018-11-06T10:37:00Z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